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png" ContentType="image/png"/>
  <Override PartName="/word/media/rId37.png" ContentType="image/png"/>
  <Override PartName="/word/media/rId42.png" ContentType="image/png"/>
  <Override PartName="/word/media/rId4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Molecular</w:t>
      </w:r>
      <w:r>
        <w:t xml:space="preserve"> </w:t>
      </w:r>
      <w:r>
        <w:t xml:space="preserve">landscape:</w:t>
      </w:r>
      <w:r>
        <w:t xml:space="preserve"> </w:t>
      </w:r>
      <w:r>
        <w:t xml:space="preserve">a</w:t>
      </w:r>
      <w:r>
        <w:t xml:space="preserve"> </w:t>
      </w:r>
      <w:r>
        <w:t xml:space="preserve">new</w:t>
      </w:r>
      <w:r>
        <w:t xml:space="preserve"> </w:t>
      </w:r>
      <w:r>
        <w:t xml:space="preserve">framework</w:t>
      </w:r>
      <w:r>
        <w:t xml:space="preserve"> </w:t>
      </w:r>
      <w:r>
        <w:t xml:space="preserve">for</w:t>
      </w:r>
      <w:r>
        <w:t xml:space="preserve"> </w:t>
      </w:r>
      <w:r>
        <w:t xml:space="preserve">personalized</w:t>
      </w:r>
      <w:r>
        <w:t xml:space="preserve"> </w:t>
      </w:r>
      <w:r>
        <w:t xml:space="preserve">medicine</w:t>
      </w:r>
      <w:r>
        <w:t xml:space="preserve"> </w:t>
      </w:r>
      <w:r>
        <w:t xml:space="preserve">in</w:t>
      </w:r>
      <w:r>
        <w:t xml:space="preserve"> </w:t>
      </w:r>
      <w:r>
        <w:t xml:space="preserve">Breast</w:t>
      </w:r>
      <w:r>
        <w:t xml:space="preserve"> </w:t>
      </w:r>
      <w:r>
        <w:t xml:space="preserve">Cancer</w:t>
      </w:r>
    </w:p>
    <w:p>
      <w:pPr>
        <w:pStyle w:val="Author"/>
      </w:pPr>
      <w:r>
        <w:t xml:space="preserve">Carlos</w:t>
      </w:r>
      <w:r>
        <w:t xml:space="preserve"> </w:t>
      </w:r>
      <w:r>
        <w:t xml:space="preserve">Ronchi,</w:t>
      </w:r>
      <w:r>
        <w:t xml:space="preserve"> </w:t>
      </w:r>
      <w:r>
        <w:t xml:space="preserve">Cathrin</w:t>
      </w:r>
      <w:r>
        <w:t xml:space="preserve"> </w:t>
      </w:r>
      <w:r>
        <w:t xml:space="preserve">Brisken</w:t>
      </w:r>
    </w:p>
    <w:bookmarkStart w:id="20" w:name="abstract"/>
    <w:p>
      <w:pPr>
        <w:pStyle w:val="Heading1"/>
      </w:pPr>
      <w:r>
        <w:t xml:space="preserve">Abstract</w:t>
      </w:r>
    </w:p>
    <w:bookmarkEnd w:id="20"/>
    <w:bookmarkStart w:id="21" w:name="introduction"/>
    <w:p>
      <w:pPr>
        <w:pStyle w:val="Heading1"/>
      </w:pPr>
      <w:r>
        <w:t xml:space="preserve">Introduction</w:t>
      </w:r>
    </w:p>
    <w:p>
      <w:pPr>
        <w:pStyle w:val="FirstParagraph"/>
      </w:pPr>
      <w:r>
        <w:t xml:space="preserve">Breast cancer is the most commonly diagnose tumor disease in the world</w:t>
      </w:r>
      <w:r>
        <w:t xml:space="preserve"> </w:t>
      </w:r>
      <w:r>
        <w:t xml:space="preserve">(1)</w:t>
      </w:r>
      <w:r>
        <w:t xml:space="preserve">.</w:t>
      </w:r>
      <w:r>
        <w:t xml:space="preserve"> </w:t>
      </w:r>
      <w:r>
        <w:t xml:space="preserve">It is also a very heterogeneous disease that can be subdivided in</w:t>
      </w:r>
      <w:r>
        <w:t xml:space="preserve"> </w:t>
      </w:r>
      <w:r>
        <w:t xml:space="preserve">different subtypes. Patients that are diagnosed with</w:t>
      </w:r>
      <w:r>
        <w:t xml:space="preserve"> </w:t>
      </w:r>
      <w:r>
        <w:t xml:space="preserve">breast cancer are classified based on the expression of the estrogen,</w:t>
      </w:r>
      <w:r>
        <w:t xml:space="preserve"> </w:t>
      </w:r>
      <w:r>
        <w:t xml:space="preserve">progesterone receptors and HER2 membrane protein. The</w:t>
      </w:r>
      <w:r>
        <w:t xml:space="preserve"> </w:t>
      </w:r>
      <w:r>
        <w:t xml:space="preserve">estrogen receptor positive (ER+) breast cancer subtype is the most</w:t>
      </w:r>
      <w:r>
        <w:t xml:space="preserve"> </w:t>
      </w:r>
      <w:r>
        <w:t xml:space="preserve">frequent found in clinical practice</w:t>
      </w:r>
      <w:r>
        <w:t xml:space="preserve"> </w:t>
      </w:r>
      <w:r>
        <w:t xml:space="preserve">(2)</w:t>
      </w:r>
      <w:r>
        <w:t xml:space="preserve">.</w:t>
      </w:r>
      <w:r>
        <w:t xml:space="preserve"> </w:t>
      </w:r>
      <w:r>
        <w:t xml:space="preserve">Tumor cells of this subtype contain the estrogen</w:t>
      </w:r>
      <w:r>
        <w:t xml:space="preserve"> </w:t>
      </w:r>
      <w:r>
        <w:t xml:space="preserve">receptor whose main mechanism is the target of selective estrogen receptor</w:t>
      </w:r>
      <w:r>
        <w:t xml:space="preserve"> </w:t>
      </w:r>
      <w:r>
        <w:t xml:space="preserve">modulator (SERM), selective estrogen receptor degrader (SERD) and</w:t>
      </w:r>
      <w:r>
        <w:t xml:space="preserve"> </w:t>
      </w:r>
      <w:r>
        <w:t xml:space="preserve">aromatase inhibitors (AI). The degree of the expression of the protein</w:t>
      </w:r>
      <w:r>
        <w:t xml:space="preserve"> </w:t>
      </w:r>
      <w:r>
        <w:t xml:space="preserve">can range from 1% to 100% according to ASCO guidelines</w:t>
      </w:r>
      <w:r>
        <w:t xml:space="preserve"> </w:t>
      </w:r>
      <w:r>
        <w:t xml:space="preserve">(3)</w:t>
      </w:r>
      <w:r>
        <w:t xml:space="preserve">. It has been</w:t>
      </w:r>
      <w:r>
        <w:t xml:space="preserve"> </w:t>
      </w:r>
      <w:r>
        <w:t xml:space="preserve">shown that the patients in the low spectrum of ER positivity, from 1% to</w:t>
      </w:r>
      <w:r>
        <w:t xml:space="preserve"> </w:t>
      </w:r>
      <w:r>
        <w:t xml:space="preserve">10%, do not benefit as much as patients with 10% to 100% of ER positive cells</w:t>
      </w:r>
      <w:r>
        <w:t xml:space="preserve"> </w:t>
      </w:r>
      <w:r>
        <w:t xml:space="preserve">in the tumor</w:t>
      </w:r>
      <w:r>
        <w:t xml:space="preserve"> </w:t>
      </w:r>
      <w:r>
        <w:t xml:space="preserve">(4)</w:t>
      </w:r>
      <w:r>
        <w:t xml:space="preserve">.</w:t>
      </w:r>
    </w:p>
    <w:p>
      <w:pPr>
        <w:pStyle w:val="BodyText"/>
      </w:pPr>
      <w:r>
        <w:t xml:space="preserve">Transcriptomics and genomics have revolutionazed how cancer research is done.</w:t>
      </w:r>
      <w:r>
        <w:t xml:space="preserve"> </w:t>
      </w:r>
      <w:r>
        <w:t xml:space="preserve">The new related</w:t>
      </w:r>
      <w:r>
        <w:t xml:space="preserve"> </w:t>
      </w:r>
      <w:r>
        <w:t xml:space="preserve">tools opened the option to better understand the molecular underpinnings</w:t>
      </w:r>
      <w:r>
        <w:t xml:space="preserve"> </w:t>
      </w:r>
      <w:r>
        <w:t xml:space="preserve">of cancer biology. In breast cancer, microarray technologies and</w:t>
      </w:r>
      <w:r>
        <w:t xml:space="preserve"> </w:t>
      </w:r>
      <w:r>
        <w:t xml:space="preserve">RNA-sequencing have been used to develop gene signatures that are able to</w:t>
      </w:r>
      <w:r>
        <w:t xml:space="preserve"> </w:t>
      </w:r>
      <w:r>
        <w:t xml:space="preserve">assign a risk score, usually for node-negative, post-menopausal and ER+ BC</w:t>
      </w:r>
      <w:r>
        <w:t xml:space="preserve"> </w:t>
      </w:r>
      <w:r>
        <w:t xml:space="preserve">patients. The risk score is based on survival data found in the literature</w:t>
      </w:r>
      <w:r>
        <w:t xml:space="preserve"> </w:t>
      </w:r>
      <w:r>
        <w:t xml:space="preserve">and the higher the risk score of a patient, the higher the benefit of</w:t>
      </w:r>
      <w:r>
        <w:t xml:space="preserve"> </w:t>
      </w:r>
      <w:r>
        <w:t xml:space="preserve">additional chemotherapy besides the first-line therapy, such as</w:t>
      </w:r>
      <w:r>
        <w:t xml:space="preserve"> </w:t>
      </w:r>
      <w:r>
        <w:t xml:space="preserve">aromatase inhibitors. Several of these signatures are already available</w:t>
      </w:r>
      <w:r>
        <w:t xml:space="preserve"> </w:t>
      </w:r>
      <w:r>
        <w:t xml:space="preserve">to be used in hospitals</w:t>
      </w:r>
      <w:r>
        <w:t xml:space="preserve"> </w:t>
      </w:r>
      <w:r>
        <w:t xml:space="preserve">(5–9)</w:t>
      </w:r>
      <w:r>
        <w:t xml:space="preserve">.</w:t>
      </w:r>
      <w:r>
        <w:t xml:space="preserve"> </w:t>
      </w:r>
      <w:r>
        <w:t xml:space="preserve">Moreover,</w:t>
      </w:r>
      <w:r>
        <w:t xml:space="preserve"> </w:t>
      </w:r>
      <w:r>
        <w:t xml:space="preserve">some of the risk scores are already recommended in international guidelines</w:t>
      </w:r>
      <w:r>
        <w:t xml:space="preserve"> </w:t>
      </w:r>
      <w:r>
        <w:t xml:space="preserve">(10)</w:t>
      </w:r>
      <w:r>
        <w:t xml:space="preserve">. These signatures though do not provide a possible</w:t>
      </w:r>
      <w:r>
        <w:t xml:space="preserve"> </w:t>
      </w:r>
      <w:r>
        <w:t xml:space="preserve">explanation on why a patient should receive additional therapy. These</w:t>
      </w:r>
      <w:r>
        <w:t xml:space="preserve"> </w:t>
      </w:r>
      <w:r>
        <w:t xml:space="preserve">signatures are composed of several submodules, they are in most of the cases</w:t>
      </w:r>
      <w:r>
        <w:t xml:space="preserve"> </w:t>
      </w:r>
      <w:r>
        <w:t xml:space="preserve">related to estrogen, proliferation, HER2 and invasion. In some of the cases</w:t>
      </w:r>
      <w:r>
        <w:t xml:space="preserve"> </w:t>
      </w:r>
      <w:r>
        <w:t xml:space="preserve">the risk score is more strongly associated with the estrogen module and in</w:t>
      </w:r>
      <w:r>
        <w:t xml:space="preserve"> </w:t>
      </w:r>
      <w:r>
        <w:t xml:space="preserve">other cases to the proliferation module</w:t>
      </w:r>
      <w:r>
        <w:t xml:space="preserve"> </w:t>
      </w:r>
      <w:r>
        <w:t xml:space="preserve">(11)</w:t>
      </w:r>
      <w:r>
        <w:t xml:space="preserve">. There is still a lack of</w:t>
      </w:r>
      <w:r>
        <w:t xml:space="preserve"> </w:t>
      </w:r>
      <w:r>
        <w:t xml:space="preserve">understanding of the patient’s tumor molecular biology. There are</w:t>
      </w:r>
      <w:r>
        <w:t xml:space="preserve"> </w:t>
      </w:r>
      <w:r>
        <w:t xml:space="preserve">challenges to overcome in the pathway analysis for patients</w:t>
      </w:r>
      <w:r>
        <w:t xml:space="preserve"> </w:t>
      </w:r>
      <w:r>
        <w:t xml:space="preserve">individually and how to compare patients molecularly when considering</w:t>
      </w:r>
      <w:r>
        <w:t xml:space="preserve"> </w:t>
      </w:r>
      <w:r>
        <w:t xml:space="preserve">complete transcriptomics data. There is no tool that</w:t>
      </w:r>
      <w:r>
        <w:t xml:space="preserve"> </w:t>
      </w:r>
      <w:r>
        <w:t xml:space="preserve">allows to integrate patients in a continuous way. Usually integration is a one</w:t>
      </w:r>
      <w:r>
        <w:t xml:space="preserve"> </w:t>
      </w:r>
      <w:r>
        <w:t xml:space="preserve">step procedure and cannot be updated. The usual tools are</w:t>
      </w:r>
      <w:r>
        <w:t xml:space="preserve"> </w:t>
      </w:r>
      <w:r>
        <w:t xml:space="preserve">(12–14)</w:t>
      </w:r>
      <w:r>
        <w:t xml:space="preserve"> </w:t>
      </w:r>
      <w:r>
        <w:t xml:space="preserve">and they do not provide batch effect removal for new</w:t>
      </w:r>
      <w:r>
        <w:t xml:space="preserve"> </w:t>
      </w:r>
      <w:r>
        <w:t xml:space="preserve">samples. The only way is to re-run the procedure together with the new sample.</w:t>
      </w:r>
      <w:r>
        <w:t xml:space="preserve"> </w:t>
      </w:r>
      <w:r>
        <w:t xml:space="preserve">The problem of doing this is usually you don’t have enough samples to estimate</w:t>
      </w:r>
      <w:r>
        <w:t xml:space="preserve"> </w:t>
      </w:r>
      <w:r>
        <w:t xml:space="preserve">batch effects across groups and therefore correct it.</w:t>
      </w:r>
    </w:p>
    <w:p>
      <w:pPr>
        <w:pStyle w:val="BodyText"/>
      </w:pPr>
      <w:r>
        <w:t xml:space="preserve">We propose here a framework for personalized medicine and the understanding</w:t>
      </w:r>
      <w:r>
        <w:t xml:space="preserve"> </w:t>
      </w:r>
      <w:r>
        <w:t xml:space="preserve">of the signaling pathways in a patient level. By developing a normalization</w:t>
      </w:r>
      <w:r>
        <w:t xml:space="preserve"> </w:t>
      </w:r>
      <w:r>
        <w:t xml:space="preserve">and projection technique, we show that it is possible to integrate</w:t>
      </w:r>
      <w:r>
        <w:t xml:space="preserve"> </w:t>
      </w:r>
      <w:r>
        <w:t xml:space="preserve">publicly available molecular datasets, such as TCGA, SCAN-B, METABRIC and</w:t>
      </w:r>
      <w:r>
        <w:t xml:space="preserve"> </w:t>
      </w:r>
      <w:r>
        <w:t xml:space="preserve">microarray data of some patients from the POETIC trial</w:t>
      </w:r>
      <w:r>
        <w:t xml:space="preserve"> </w:t>
      </w:r>
      <w:r>
        <w:t xml:space="preserve">(15–18)</w:t>
      </w:r>
      <w:r>
        <w:t xml:space="preserve">, and that it is possible</w:t>
      </w:r>
      <w:r>
        <w:t xml:space="preserve"> </w:t>
      </w:r>
      <w:r>
        <w:t xml:space="preserve">to compare patients in a neighborhood of the projected data, providing</w:t>
      </w:r>
      <w:r>
        <w:t xml:space="preserve"> </w:t>
      </w:r>
      <w:r>
        <w:t xml:space="preserve">a context to compare patients and better understand the biology of the tumor.</w:t>
      </w:r>
      <w:r>
        <w:t xml:space="preserve"> </w:t>
      </w:r>
      <w:r>
        <w:t xml:space="preserve">Moreover, we propose to use the different gene sets from the hallmarks</w:t>
      </w:r>
      <w:r>
        <w:t xml:space="preserve"> </w:t>
      </w:r>
      <w:r>
        <w:t xml:space="preserve">collection of the Molecular Signature Database (MSigDB)</w:t>
      </w:r>
      <w:r>
        <w:t xml:space="preserve"> </w:t>
      </w:r>
      <w:r>
        <w:t xml:space="preserve">(19,20)</w:t>
      </w:r>
      <w:r>
        <w:t xml:space="preserve"> </w:t>
      </w:r>
      <w:r>
        <w:t xml:space="preserve">to understand</w:t>
      </w:r>
      <w:r>
        <w:t xml:space="preserve"> </w:t>
      </w:r>
      <w:r>
        <w:t xml:space="preserve">the biology of the tumors in patient and neighborhood levels.</w:t>
      </w:r>
    </w:p>
    <w:bookmarkEnd w:id="21"/>
    <w:bookmarkStart w:id="31" w:name="methods"/>
    <w:p>
      <w:pPr>
        <w:pStyle w:val="Heading1"/>
      </w:pPr>
      <w:r>
        <w:t xml:space="preserve">Methods</w:t>
      </w:r>
    </w:p>
    <w:bookmarkStart w:id="22" w:name="cohorts"/>
    <w:p>
      <w:pPr>
        <w:pStyle w:val="Heading2"/>
      </w:pPr>
      <w:r>
        <w:t xml:space="preserve">Cohorts</w:t>
      </w:r>
    </w:p>
    <w:p>
      <w:pPr>
        <w:pStyle w:val="FirstParagraph"/>
      </w:pPr>
      <w:r>
        <w:t xml:space="preserve">The breast cancer cohorts TCGA, SCANB, METABRIC and POETIC</w:t>
      </w:r>
      <w:r>
        <w:t xml:space="preserve"> </w:t>
      </w:r>
      <w:r>
        <w:t xml:space="preserve">(15–18)</w:t>
      </w:r>
      <w:r>
        <w:t xml:space="preserve"> </w:t>
      </w:r>
      <w:r>
        <w:t xml:space="preserve">were used to calculate the PCA embeddings and scores. The samples are of</w:t>
      </w:r>
      <w:r>
        <w:t xml:space="preserve"> </w:t>
      </w:r>
      <w:r>
        <w:t xml:space="preserve">primary breast cancer samples from different molecular subtypes and age</w:t>
      </w:r>
      <w:r>
        <w:t xml:space="preserve"> </w:t>
      </w:r>
      <w:r>
        <w:t xml:space="preserve">distribution. TCGA was download from Firebrowse, SCANB data was downloaded</w:t>
      </w:r>
      <w:r>
        <w:t xml:space="preserve"> </w:t>
      </w:r>
      <w:r>
        <w:t xml:space="preserve">from GEO (accession code GSE96058)</w:t>
      </w:r>
      <w:r>
        <w:t xml:space="preserve"> </w:t>
      </w:r>
      <w:r>
        <w:t xml:space="preserve">using the package GEOquery</w:t>
      </w:r>
      <w:r>
        <w:t xml:space="preserve"> </w:t>
      </w:r>
      <w:r>
        <w:t xml:space="preserve">(21)</w:t>
      </w:r>
      <w:r>
        <w:t xml:space="preserve"> </w:t>
      </w:r>
      <w:r>
        <w:t xml:space="preserve">in R along the clinical data from the</w:t>
      </w:r>
      <w:r>
        <w:t xml:space="preserve"> </w:t>
      </w:r>
      <w:r>
        <w:t xml:space="preserve">https://oncogenomics.bmc.lu.se/MutationExplorer/ website. METABRIC</w:t>
      </w:r>
      <w:r>
        <w:t xml:space="preserve"> </w:t>
      </w:r>
      <w:r>
        <w:t xml:space="preserve">was downloaded directly from cBioPortal. POETIC data was downloaded</w:t>
      </w:r>
      <w:r>
        <w:t xml:space="preserve"> </w:t>
      </w:r>
      <w:r>
        <w:t xml:space="preserve">from GEO (accession code GSE105777) using the R package GEOquery.</w:t>
      </w:r>
      <w:r>
        <w:t xml:space="preserve"> </w:t>
      </w:r>
      <w:r>
        <w:t xml:space="preserve">More details about the download and preprocessing steps are described in</w:t>
      </w:r>
      <w:r>
        <w:t xml:space="preserve"> </w:t>
      </w:r>
      <w:r>
        <w:t xml:space="preserve">https://chronchi.github.io/transcriptomics.</w:t>
      </w:r>
    </w:p>
    <w:bookmarkEnd w:id="22"/>
    <w:bookmarkStart w:id="23" w:name="selection-of-highly-variable-genes"/>
    <w:p>
      <w:pPr>
        <w:pStyle w:val="Heading2"/>
      </w:pPr>
      <w:r>
        <w:t xml:space="preserve">Selection of highly variable genes</w:t>
      </w:r>
    </w:p>
    <w:p>
      <w:pPr>
        <w:pStyle w:val="FirstParagraph"/>
      </w:pPr>
      <w:r>
        <w:t xml:space="preserve">In order to perform the PCA, we sub selected 1000 common and</w:t>
      </w:r>
      <w:r>
        <w:t xml:space="preserve"> </w:t>
      </w:r>
      <w:r>
        <w:t xml:space="preserve">highly variable genes</w:t>
      </w:r>
      <w:r>
        <w:t xml:space="preserve"> </w:t>
      </w:r>
      <w:r>
        <w:t xml:space="preserve">in the TCGA and METABRIC cohorts. For each gene and in each cohort</w:t>
      </w:r>
      <w:r>
        <w:t xml:space="preserve"> </w:t>
      </w:r>
      <w:r>
        <w:t xml:space="preserve">separately, the standard deviation of that gene was calculated. Then an</w:t>
      </w:r>
      <w:r>
        <w:t xml:space="preserve"> </w:t>
      </w:r>
      <w:r>
        <w:t xml:space="preserve">average standard deviation was calculated using the formula below.</w:t>
      </w:r>
    </w:p>
    <w:p>
      <w:pPr>
        <w:pStyle w:val="BodyText"/>
      </w:pPr>
      <m:oMathPara>
        <m:oMathParaPr>
          <m:jc m:val="center"/>
        </m:oMathParaPr>
        <m:oMath>
          <m:r>
            <m:rPr>
              <m:nor/>
              <m:sty m:val="p"/>
            </m:rPr>
            <m:t>average sd</m:t>
          </m:r>
          <m:r>
            <m:rPr>
              <m:sty m:val="p"/>
            </m:rPr>
            <m:t>=</m:t>
          </m:r>
          <m:rad>
            <m:radPr>
              <m:degHide m:val="1"/>
            </m:radPr>
            <m:deg/>
            <m:e>
              <m:f>
                <m:fPr>
                  <m:type m:val="bar"/>
                </m:fPr>
                <m:num>
                  <m:d>
                    <m:dPr>
                      <m:begChr m:val="("/>
                      <m:endChr m:val=")"/>
                      <m:sepChr m:val=""/>
                      <m:grow/>
                    </m:dPr>
                    <m:e>
                      <m:r>
                        <m:t>s</m:t>
                      </m:r>
                      <m:sSubSup>
                        <m:e>
                          <m:r>
                            <m:t>d</m:t>
                          </m:r>
                        </m:e>
                        <m:sub>
                          <m:r>
                            <m:t>T</m:t>
                          </m:r>
                          <m:r>
                            <m:t>C</m:t>
                          </m:r>
                          <m:r>
                            <m:t>G</m:t>
                          </m:r>
                          <m:r>
                            <m:t>A</m:t>
                          </m:r>
                        </m:sub>
                        <m:sup>
                          <m:r>
                            <m:t>2</m:t>
                          </m:r>
                        </m:sup>
                      </m:sSubSup>
                      <m:r>
                        <m:rPr>
                          <m:sty m:val="p"/>
                        </m:rPr>
                        <m:t>+</m:t>
                      </m:r>
                      <m:r>
                        <m:t>s</m:t>
                      </m:r>
                      <m:sSubSup>
                        <m:e>
                          <m:r>
                            <m:t>d</m:t>
                          </m:r>
                        </m:e>
                        <m:sub>
                          <m:r>
                            <m:t>M</m:t>
                          </m:r>
                          <m:r>
                            <m:t>E</m:t>
                          </m:r>
                          <m:r>
                            <m:t>T</m:t>
                          </m:r>
                          <m:r>
                            <m:t>A</m:t>
                          </m:r>
                          <m:r>
                            <m:t>B</m:t>
                          </m:r>
                          <m:r>
                            <m:t>R</m:t>
                          </m:r>
                          <m:r>
                            <m:t>I</m:t>
                          </m:r>
                          <m:r>
                            <m:t>C</m:t>
                          </m:r>
                        </m:sub>
                        <m:sup>
                          <m:r>
                            <m:t>2</m:t>
                          </m:r>
                        </m:sup>
                      </m:sSubSup>
                    </m:e>
                  </m:d>
                </m:num>
                <m:den>
                  <m:r>
                    <m:t>k</m:t>
                  </m:r>
                </m:den>
              </m:f>
            </m:e>
          </m:rad>
        </m:oMath>
      </m:oMathPara>
    </w:p>
    <w:bookmarkEnd w:id="23"/>
    <w:bookmarkStart w:id="24" w:name="qpcr-like-normalization"/>
    <w:p>
      <w:pPr>
        <w:pStyle w:val="Heading2"/>
      </w:pPr>
      <w:r>
        <w:t xml:space="preserve">qPCR-like normalization</w:t>
      </w:r>
    </w:p>
    <w:p>
      <w:pPr>
        <w:pStyle w:val="FirstParagraph"/>
      </w:pPr>
      <w:r>
        <w:t xml:space="preserve">Since samples are coming from different platforms, they need to be</w:t>
      </w:r>
      <w:r>
        <w:t xml:space="preserve"> </w:t>
      </w:r>
      <w:r>
        <w:t xml:space="preserve">scaled in a way that they are comparable. For this we developed a new way</w:t>
      </w:r>
      <w:r>
        <w:t xml:space="preserve"> </w:t>
      </w:r>
      <w:r>
        <w:t xml:space="preserve">to scale the data based on the ranking of the samples. Given a list of 44</w:t>
      </w:r>
      <w:r>
        <w:t xml:space="preserve"> </w:t>
      </w:r>
      <w:r>
        <w:t xml:space="preserve">stable genes across different cancers</w:t>
      </w:r>
      <w:r>
        <w:t xml:space="preserve"> </w:t>
      </w:r>
      <w:r>
        <w:t xml:space="preserve">(22)</w:t>
      </w:r>
      <w:r>
        <w:t xml:space="preserve"> </w:t>
      </w:r>
      <w:r>
        <w:t xml:space="preserve">and the 1000</w:t>
      </w:r>
      <w:r>
        <w:t xml:space="preserve"> </w:t>
      </w:r>
      <w:r>
        <w:t xml:space="preserve">genes selected previously, all genes were ranked from lowest to highest</w:t>
      </w:r>
      <w:r>
        <w:t xml:space="preserve"> </w:t>
      </w:r>
      <w:r>
        <w:t xml:space="preserve">expression for each sample separately and the rankings were divided by</w:t>
      </w:r>
      <w:r>
        <w:t xml:space="preserve"> </w:t>
      </w:r>
      <w:r>
        <w:t xml:space="preserve">the average ranking of the stable genes. Stable genes are considered</w:t>
      </w:r>
      <w:r>
        <w:t xml:space="preserve"> </w:t>
      </w:r>
      <w:r>
        <w:t xml:space="preserve">the housekeeping genes.</w:t>
      </w:r>
    </w:p>
    <w:bookmarkEnd w:id="24"/>
    <w:bookmarkStart w:id="25" w:name="pca-embedding"/>
    <w:p>
      <w:pPr>
        <w:pStyle w:val="Heading2"/>
      </w:pPr>
      <w:r>
        <w:t xml:space="preserve">PCA embedding</w:t>
      </w:r>
    </w:p>
    <w:p>
      <w:pPr>
        <w:pStyle w:val="FirstParagraph"/>
      </w:pPr>
      <w:r>
        <w:t xml:space="preserve">Using the normalized data, a total of 1000 random samples</w:t>
      </w:r>
      <w:r>
        <w:t xml:space="preserve"> </w:t>
      </w:r>
      <w:r>
        <w:t xml:space="preserve">coming from TCGA and METABRIC were selected to perform the initial PCA.</w:t>
      </w:r>
      <w:r>
        <w:t xml:space="preserve"> </w:t>
      </w:r>
      <w:r>
        <w:t xml:space="preserve">This is an unsupervised learning method, therefore there is no need to label</w:t>
      </w:r>
      <w:r>
        <w:t xml:space="preserve"> </w:t>
      </w:r>
      <w:r>
        <w:t xml:space="preserve">the samples with respect to some category. The package PCAtools</w:t>
      </w:r>
      <w:r>
        <w:t xml:space="preserve"> </w:t>
      </w:r>
      <w:r>
        <w:t xml:space="preserve">(23)</w:t>
      </w:r>
      <w:r>
        <w:t xml:space="preserve"> </w:t>
      </w:r>
      <w:r>
        <w:t xml:space="preserve">in R was used to perform the PCA and to obtain the loadings for</w:t>
      </w:r>
      <w:r>
        <w:t xml:space="preserve"> </w:t>
      </w:r>
      <w:r>
        <w:t xml:space="preserve">downstream analysis. PCA was used with centering and scaling set to</w:t>
      </w:r>
      <w:r>
        <w:t xml:space="preserve"> </w:t>
      </w:r>
      <w:r>
        <w:rPr>
          <w:rStyle w:val="VerbatimChar"/>
        </w:rPr>
        <w:t xml:space="preserve">FALSE</w:t>
      </w:r>
      <w:r>
        <w:t xml:space="preserve">. The embedding for new individual samples is obtained</w:t>
      </w:r>
      <w:r>
        <w:t xml:space="preserve"> </w:t>
      </w:r>
      <w:r>
        <w:t xml:space="preserve">by multiplying the loadings matrix with the normalized data for that sample.</w:t>
      </w:r>
      <w:r>
        <w:t xml:space="preserve"> </w:t>
      </w:r>
      <w:r>
        <w:t xml:space="preserve">Since the normalization procedure is performed sample-wise, this step is</w:t>
      </w:r>
      <w:r>
        <w:t xml:space="preserve"> </w:t>
      </w:r>
      <w:r>
        <w:t xml:space="preserve">independent of the number of samples. If there are missing genes in a sample,</w:t>
      </w:r>
      <w:r>
        <w:t xml:space="preserve"> </w:t>
      </w:r>
      <w:r>
        <w:t xml:space="preserve">the normalization is performed and the missing genes are padded with 0.</w:t>
      </w:r>
    </w:p>
    <w:bookmarkEnd w:id="25"/>
    <w:bookmarkStart w:id="26" w:name="scoring-strategies"/>
    <w:p>
      <w:pPr>
        <w:pStyle w:val="Heading2"/>
      </w:pPr>
      <w:r>
        <w:t xml:space="preserve">Scoring strategies</w:t>
      </w:r>
    </w:p>
    <w:p>
      <w:pPr>
        <w:pStyle w:val="FirstParagraph"/>
      </w:pPr>
      <w:r>
        <w:t xml:space="preserve">For the 4 big cohorts, TCGA, SCANB, METABRIC and POETIC, GSVA</w:t>
      </w:r>
      <w:r>
        <w:t xml:space="preserve"> </w:t>
      </w:r>
      <w:r>
        <w:t xml:space="preserve">(24)</w:t>
      </w:r>
      <w:r>
        <w:t xml:space="preserve"> </w:t>
      </w:r>
      <w:r>
        <w:t xml:space="preserve">was applied along with the</w:t>
      </w:r>
      <w:r>
        <w:t xml:space="preserve"> </w:t>
      </w:r>
      <m:oMath>
        <m:r>
          <m:t>S</m:t>
        </m:r>
        <m:r>
          <m:t>E</m:t>
        </m:r>
        <m:sSub>
          <m:e>
            <m:r>
              <m:t>T</m:t>
            </m:r>
          </m:e>
          <m:sub>
            <m:r>
              <m:t>E</m:t>
            </m:r>
            <m:r>
              <m:t>R</m:t>
            </m:r>
            <m:r>
              <m:rPr>
                <m:sty m:val="p"/>
              </m:rPr>
              <m:t>/</m:t>
            </m:r>
            <m:r>
              <m:t>P</m:t>
            </m:r>
            <m:r>
              <m:t>R</m:t>
            </m:r>
          </m:sub>
        </m:sSub>
      </m:oMath>
      <w:r>
        <w:t xml:space="preserve"> </w:t>
      </w:r>
      <w:r>
        <w:t xml:space="preserve">signature</w:t>
      </w:r>
      <w:r>
        <w:t xml:space="preserve"> </w:t>
      </w:r>
      <w:r>
        <w:t xml:space="preserve">(25)</w:t>
      </w:r>
      <w:r>
        <w:t xml:space="preserve"> </w:t>
      </w:r>
      <w:r>
        <w:t xml:space="preserve">and the hallmark collection from the molecular signature</w:t>
      </w:r>
      <w:r>
        <w:t xml:space="preserve"> </w:t>
      </w:r>
      <w:r>
        <w:t xml:space="preserve">database</w:t>
      </w:r>
      <w:r>
        <w:t xml:space="preserve"> </w:t>
      </w:r>
      <w:r>
        <w:t xml:space="preserve">(19,26)</w:t>
      </w:r>
      <w:r>
        <w:t xml:space="preserve">. Default parameters were used</w:t>
      </w:r>
      <w:r>
        <w:t xml:space="preserve"> </w:t>
      </w:r>
      <w:r>
        <w:t xml:space="preserve">in the</w:t>
      </w:r>
      <w:r>
        <w:t xml:space="preserve"> </w:t>
      </w:r>
      <w:r>
        <w:rPr>
          <w:rStyle w:val="VerbatimChar"/>
        </w:rPr>
        <w:t xml:space="preserve">gsva</w:t>
      </w:r>
      <w:r>
        <w:t xml:space="preserve"> </w:t>
      </w:r>
      <w:r>
        <w:t xml:space="preserve">function from the GSVA package.</w:t>
      </w:r>
    </w:p>
    <w:bookmarkEnd w:id="26"/>
    <w:bookmarkStart w:id="27" w:name="average-neighborhood-scores"/>
    <w:p>
      <w:pPr>
        <w:pStyle w:val="Heading2"/>
      </w:pPr>
      <w:r>
        <w:t xml:space="preserve">Average neighborhood scores</w:t>
      </w:r>
    </w:p>
    <w:p>
      <w:pPr>
        <w:pStyle w:val="FirstParagraph"/>
      </w:pPr>
      <w:r>
        <w:t xml:space="preserve">In order to calculate the posterior distribution of the average scores</w:t>
      </w:r>
      <w:r>
        <w:t xml:space="preserve"> </w:t>
      </w:r>
      <w:r>
        <w:t xml:space="preserve">in each neighborhood, a linear regression witho only intercept was</w:t>
      </w:r>
      <w:r>
        <w:t xml:space="preserve"> </w:t>
      </w:r>
      <w:r>
        <w:t xml:space="preserve">fit using</w:t>
      </w:r>
      <w:r>
        <w:t xml:space="preserve"> </w:t>
      </w:r>
      <w:r>
        <w:rPr>
          <w:rStyle w:val="VerbatimChar"/>
        </w:rPr>
        <w:t xml:space="preserve">rstanarm</w:t>
      </w:r>
      <w:r>
        <w:t xml:space="preserve"> </w:t>
      </w:r>
      <w:r>
        <w:t xml:space="preserve">(27)</w:t>
      </w:r>
      <w:r>
        <w:t xml:space="preserve">.</w:t>
      </w:r>
      <w:r>
        <w:t xml:space="preserve"> </w:t>
      </w:r>
      <w:r>
        <w:t xml:space="preserve">The package</w:t>
      </w:r>
      <w:r>
        <w:t xml:space="preserve"> </w:t>
      </w:r>
      <w:r>
        <w:rPr>
          <w:rStyle w:val="VerbatimChar"/>
        </w:rPr>
        <w:t xml:space="preserve">tidybayes</w:t>
      </w:r>
      <w:r>
        <w:t xml:space="preserve"> </w:t>
      </w:r>
      <w:r>
        <w:t xml:space="preserve">(28)</w:t>
      </w:r>
      <w:r>
        <w:t xml:space="preserve"> </w:t>
      </w:r>
      <w:r>
        <w:t xml:space="preserve">was used to extract</w:t>
      </w:r>
      <w:r>
        <w:t xml:space="preserve"> </w:t>
      </w:r>
      <w:r>
        <w:t xml:space="preserve">the draws and put them in a tidy format.</w:t>
      </w:r>
    </w:p>
    <w:bookmarkEnd w:id="27"/>
    <w:bookmarkStart w:id="30" w:name="code-availability"/>
    <w:p>
      <w:pPr>
        <w:pStyle w:val="Heading2"/>
      </w:pPr>
      <w:r>
        <w:t xml:space="preserve">Code availability</w:t>
      </w:r>
    </w:p>
    <w:p>
      <w:pPr>
        <w:pStyle w:val="FirstParagraph"/>
      </w:pPr>
      <w:r>
        <w:t xml:space="preserve">The code used to generate all the analysis is available on</w:t>
      </w:r>
      <w:r>
        <w:t xml:space="preserve"> </w:t>
      </w:r>
      <w:hyperlink r:id="rId28">
        <w:r>
          <w:rPr>
            <w:rStyle w:val="Hyperlink"/>
          </w:rPr>
          <w:t xml:space="preserve">https://github.com/chronchi/molecular_landscape</w:t>
        </w:r>
      </w:hyperlink>
      <w:r>
        <w:t xml:space="preserve">.</w:t>
      </w:r>
      <w:r>
        <w:t xml:space="preserve"> </w:t>
      </w:r>
      <w:r>
        <w:t xml:space="preserve">Descriptions for a docker image to reproduce the analysis are available on</w:t>
      </w:r>
      <w:r>
        <w:t xml:space="preserve"> </w:t>
      </w:r>
      <w:r>
        <w:t xml:space="preserve">the github repository. An online version with a website containing all</w:t>
      </w:r>
      <w:r>
        <w:t xml:space="preserve"> </w:t>
      </w:r>
      <w:r>
        <w:t xml:space="preserve">the analysis can be found on</w:t>
      </w:r>
      <w:r>
        <w:t xml:space="preserve"> </w:t>
      </w:r>
      <w:hyperlink r:id="rId29">
        <w:r>
          <w:rPr>
            <w:rStyle w:val="Hyperlink"/>
          </w:rPr>
          <w:t xml:space="preserve">https://chronchi.github.io/molecular_landscape</w:t>
        </w:r>
      </w:hyperlink>
    </w:p>
    <w:bookmarkEnd w:id="30"/>
    <w:bookmarkEnd w:id="31"/>
    <w:bookmarkStart w:id="52" w:name="results"/>
    <w:p>
      <w:pPr>
        <w:pStyle w:val="Heading1"/>
      </w:pPr>
      <w:r>
        <w:t xml:space="preserve">Results</w:t>
      </w:r>
    </w:p>
    <w:bookmarkStart w:id="36" w:name="Xa7852579298aa6aec6315c0a2aa7049de59aaf0"/>
    <w:p>
      <w:pPr>
        <w:pStyle w:val="Heading2"/>
      </w:pPr>
      <w:r>
        <w:t xml:space="preserve">Estrogen receptor is a clinical continuous variable</w:t>
      </w:r>
    </w:p>
    <w:p>
      <w:pPr>
        <w:pStyle w:val="FirstParagraph"/>
      </w:pPr>
      <w:r>
        <w:t xml:space="preserve">We used three independent breast cancer molecular datasets</w:t>
      </w:r>
      <w:r>
        <w:t xml:space="preserve"> </w:t>
      </w:r>
      <w:r>
        <w:t xml:space="preserve">(15–17)</w:t>
      </w:r>
      <w:r>
        <w:t xml:space="preserve"> </w:t>
      </w:r>
      <w:r>
        <w:t xml:space="preserve">to calculate estrogen signaling scores.</w:t>
      </w:r>
      <w:r>
        <w:t xml:space="preserve"> </w:t>
      </w:r>
      <w:r>
        <w:t xml:space="preserve">The estrogen signatures HALLMARK_ESTROGEN_RESPONSE_EARLY and</w:t>
      </w:r>
      <w:r>
        <w:t xml:space="preserve"> </w:t>
      </w:r>
      <w:r>
        <w:t xml:space="preserve">HALLMARK_ESTROGEN_RESPONSE_LATE were extracted from the molecular signature</w:t>
      </w:r>
      <w:r>
        <w:t xml:space="preserve"> </w:t>
      </w:r>
      <w:r>
        <w:t xml:space="preserve">database</w:t>
      </w:r>
      <w:r>
        <w:t xml:space="preserve"> </w:t>
      </w:r>
      <w:r>
        <w:t xml:space="preserve">(19)</w:t>
      </w:r>
      <w:r>
        <w:t xml:space="preserve"> </w:t>
      </w:r>
      <w:r>
        <w:t xml:space="preserve">and</w:t>
      </w:r>
      <w:r>
        <w:t xml:space="preserve"> </w:t>
      </w:r>
      <m:oMath>
        <m:r>
          <m:t>S</m:t>
        </m:r>
        <m:r>
          <m:t>E</m:t>
        </m:r>
        <m:sSub>
          <m:e>
            <m:r>
              <m:t>T</m:t>
            </m:r>
          </m:e>
          <m:sub>
            <m:r>
              <m:t>E</m:t>
            </m:r>
            <m:r>
              <m:t>R</m:t>
            </m:r>
            <m:r>
              <m:rPr>
                <m:sty m:val="p"/>
              </m:rPr>
              <m:t>/</m:t>
            </m:r>
            <m:r>
              <m:t>P</m:t>
            </m:r>
            <m:r>
              <m:t>R</m:t>
            </m:r>
          </m:sub>
        </m:sSub>
      </m:oMath>
      <w:r>
        <w:t xml:space="preserve"> </w:t>
      </w:r>
      <w:r>
        <w:t xml:space="preserve">from</w:t>
      </w:r>
      <w:r>
        <w:t xml:space="preserve"> </w:t>
      </w:r>
      <w:r>
        <w:t xml:space="preserve">(25)</w:t>
      </w:r>
      <w:r>
        <w:t xml:space="preserve">.</w:t>
      </w:r>
      <w:r>
        <w:t xml:space="preserve"> </w:t>
      </w:r>
      <w:r>
        <w:t xml:space="preserve">The individual</w:t>
      </w:r>
      <w:r>
        <w:t xml:space="preserve"> </w:t>
      </w:r>
      <w:r>
        <w:t xml:space="preserve">scores for each patient sample</w:t>
      </w:r>
      <w:r>
        <w:t xml:space="preserve"> </w:t>
      </w:r>
      <w:r>
        <w:t xml:space="preserve">are shown in</w:t>
      </w:r>
      <w:r>
        <w:t xml:space="preserve"> </w:t>
      </w:r>
      <w:hyperlink w:anchor="fig-01">
        <w:r>
          <w:rPr>
            <w:rStyle w:val="Hyperlink"/>
          </w:rPr>
          <w:t xml:space="preserve">Figure 1</w:t>
        </w:r>
      </w:hyperlink>
      <w:r>
        <w:t xml:space="preserve"> </w:t>
      </w:r>
      <w:r>
        <w:t xml:space="preserve">(a) for each cohort stratified by</w:t>
      </w:r>
      <w:r>
        <w:t xml:space="preserve"> </w:t>
      </w:r>
      <w:r>
        <w:t xml:space="preserve">estrogen receptor status. It shows the scores capture the differences</w:t>
      </w:r>
      <w:r>
        <w:t xml:space="preserve"> </w:t>
      </w:r>
      <w:r>
        <w:t xml:space="preserve">between the two breast cancer subtypes as expected. Moreover, there is a</w:t>
      </w:r>
      <w:r>
        <w:t xml:space="preserve"> </w:t>
      </w:r>
      <w:r>
        <w:t xml:space="preserve">wide range of values in the estrogen receptor positive (ER+) subgroup.</w:t>
      </w:r>
    </w:p>
    <w:p>
      <w:pPr>
        <w:pStyle w:val="BodyText"/>
      </w:pPr>
      <w:r>
        <w:t xml:space="preserve">Cox regression was used to determine the hazard ratio of the</w:t>
      </w:r>
      <w:r>
        <w:t xml:space="preserve"> </w:t>
      </w:r>
      <w:r>
        <w:t xml:space="preserve">estrogen signaling</w:t>
      </w:r>
      <w:r>
        <w:t xml:space="preserve"> </w:t>
      </w:r>
      <w:r>
        <w:t xml:space="preserve">in overall survival (OS) for TCGA, SCANB and METABRIC and</w:t>
      </w:r>
      <w:r>
        <w:t xml:space="preserve"> </w:t>
      </w:r>
      <w:r>
        <w:t xml:space="preserve">recurrence free survival (RFS) for METABRIC. Each survival analysis was done</w:t>
      </w:r>
      <w:r>
        <w:t xml:space="preserve"> </w:t>
      </w:r>
      <w:r>
        <w:t xml:space="preserve">independently and adjusted for available clinical variables. Tumor size and</w:t>
      </w:r>
      <w:r>
        <w:t xml:space="preserve"> </w:t>
      </w:r>
      <w:r>
        <w:t xml:space="preserve">number of lymph nodes were used for TCGA and SCANB cohorts. The Nottingham</w:t>
      </w:r>
      <w:r>
        <w:t xml:space="preserve"> </w:t>
      </w:r>
      <w:r>
        <w:t xml:space="preserve">prognostic index (NPI) was used for METABRIC. Age was used in all cohorts</w:t>
      </w:r>
      <w:r>
        <w:t xml:space="preserve"> </w:t>
      </w:r>
      <w:r>
        <w:t xml:space="preserve">as a clinical variable for adjustment. Only ER+ BC patients were used and</w:t>
      </w:r>
      <w:r>
        <w:t xml:space="preserve"> </w:t>
      </w:r>
      <w:r>
        <w:t xml:space="preserve">when possible only those that received endocrine therapy.</w:t>
      </w:r>
      <w:r>
        <w:t xml:space="preserve"> </w:t>
      </w:r>
      <w:hyperlink w:anchor="fig-01">
        <w:r>
          <w:rPr>
            <w:rStyle w:val="Hyperlink"/>
          </w:rPr>
          <w:t xml:space="preserve">Figure 1</w:t>
        </w:r>
      </w:hyperlink>
      <w:r>
        <w:t xml:space="preserve"> </w:t>
      </w:r>
      <w:r>
        <w:t xml:space="preserve">(b) shows the forest plots for each cohort individually</w:t>
      </w:r>
      <w:r>
        <w:t xml:space="preserve"> </w:t>
      </w:r>
      <w:r>
        <w:t xml:space="preserve">when calculating the hazard ratio for the</w:t>
      </w:r>
      <w:r>
        <w:t xml:space="preserve"> </w:t>
      </w:r>
      <m:oMath>
        <m:r>
          <m:t>S</m:t>
        </m:r>
        <m:r>
          <m:t>E</m:t>
        </m:r>
        <m:sSub>
          <m:e>
            <m:r>
              <m:t>T</m:t>
            </m:r>
          </m:e>
          <m:sub>
            <m:r>
              <m:t>E</m:t>
            </m:r>
            <m:r>
              <m:t>R</m:t>
            </m:r>
            <m:r>
              <m:rPr>
                <m:sty m:val="p"/>
              </m:rPr>
              <m:t>/</m:t>
            </m:r>
            <m:r>
              <m:t>P</m:t>
            </m:r>
            <m:r>
              <m:t>R</m:t>
            </m:r>
          </m:sub>
        </m:sSub>
      </m:oMath>
      <w:r>
        <w:t xml:space="preserve"> </w:t>
      </w:r>
      <w:r>
        <w:t xml:space="preserve">estrogen signaling signature. In all the three cases, the</w:t>
      </w:r>
      <w:r>
        <w:t xml:space="preserve"> </w:t>
      </w:r>
      <w:r>
        <w:t xml:space="preserve">hazard ratio for</w:t>
      </w:r>
      <w:r>
        <w:t xml:space="preserve"> </w:t>
      </w:r>
      <m:oMath>
        <m:r>
          <m:t>S</m:t>
        </m:r>
        <m:r>
          <m:t>E</m:t>
        </m:r>
        <m:sSub>
          <m:e>
            <m:r>
              <m:t>T</m:t>
            </m:r>
          </m:e>
          <m:sub>
            <m:r>
              <m:t>E</m:t>
            </m:r>
            <m:r>
              <m:t>R</m:t>
            </m:r>
            <m:r>
              <m:rPr>
                <m:sty m:val="p"/>
              </m:rPr>
              <m:t>/</m:t>
            </m:r>
            <m:r>
              <m:t>P</m:t>
            </m:r>
            <m:r>
              <m:t>R</m:t>
            </m:r>
          </m:sub>
        </m:sSub>
      </m:oMath>
      <w:r>
        <w:t xml:space="preserve"> </w:t>
      </w:r>
      <w:r>
        <w:t xml:space="preserve">was below 1, with values ranging from</w:t>
      </w:r>
      <w:r>
        <w:t xml:space="preserve"> </w:t>
      </w:r>
      <w:r>
        <w:t xml:space="preserve">0.23 to 0.61. There is moderate variability for each hazard ratio.</w:t>
      </w:r>
      <w:r>
        <w:t xml:space="preserve"> </w:t>
      </w:r>
      <w:r>
        <w:t xml:space="preserve">This shows the continuous aspect of estrogen receptor status. For both</w:t>
      </w:r>
      <w:r>
        <w:t xml:space="preserve"> </w:t>
      </w:r>
      <w:r>
        <w:t xml:space="preserve">estrogen pathways of the hallmark collection of gene sets, hazard ratios</w:t>
      </w:r>
      <w:r>
        <w:t xml:space="preserve"> </w:t>
      </w:r>
      <w:r>
        <w:t xml:space="preserve">were below 1 in all cases (Table 1, supplementary material).</w:t>
      </w:r>
    </w:p>
    <w:tbl>
      <w:tblPr>
        <w:tblStyle w:val="Table"/>
        <w:tblW w:type="pct" w:w="5000"/>
        <w:tblLook w:firstRow="0" w:lastRow="0" w:firstColumn="0" w:lastColumn="0" w:noHBand="0" w:noVBand="0" w:val="0000"/>
      </w:tblPr>
      <w:tblGrid>
        <w:gridCol w:w="7920"/>
      </w:tblGrid>
      <w:tr>
        <w:tc>
          <w:tcPr/>
          <w:bookmarkStart w:id="35" w:name="fig-01"/>
          <w:p>
            <w:pPr>
              <w:pStyle w:val="Figure"/>
              <w:jc w:val="center"/>
            </w:pPr>
            <w:r>
              <w:drawing>
                <wp:inline>
                  <wp:extent cx="5334000" cy="4124722"/>
                  <wp:effectExtent b="0" l="0" r="0" t="0"/>
                  <wp:docPr descr="" title="" id="33" name="Picture"/>
                  <a:graphic>
                    <a:graphicData uri="http://schemas.openxmlformats.org/drawingml/2006/picture">
                      <pic:pic>
                        <pic:nvPicPr>
                          <pic:cNvPr descr="images/png/figure01.png" id="34" name="Picture"/>
                          <pic:cNvPicPr>
                            <a:picLocks noChangeArrowheads="1" noChangeAspect="1"/>
                          </pic:cNvPicPr>
                        </pic:nvPicPr>
                        <pic:blipFill>
                          <a:blip r:embed="rId32"/>
                          <a:stretch>
                            <a:fillRect/>
                          </a:stretch>
                        </pic:blipFill>
                        <pic:spPr bwMode="auto">
                          <a:xfrm>
                            <a:off x="0" y="0"/>
                            <a:ext cx="5334000" cy="412472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Scores and survival analysis results from TCGA, SCANB and METABRIC cohorts. (a) GSVA scores for the SET ER/PR signature for each cohort. Each point corresponds to a patient sample and they are divided by estrogen receptor status. (b) Forest plot of the survival analysis for each cohort separately. NPI: Nottingham prognostic index. Ti: i-th stage of tumor. Ni: i lymph nodes with breast cancer cells.</w:t>
            </w:r>
          </w:p>
          <w:bookmarkEnd w:id="35"/>
        </w:tc>
      </w:tr>
    </w:tbl>
    <w:bookmarkEnd w:id="36"/>
    <w:bookmarkStart w:id="41" w:name="X2f6208039ce2e3ad2a2fd5cafe5356ffe0ce082"/>
    <w:p>
      <w:pPr>
        <w:pStyle w:val="Heading2"/>
      </w:pPr>
      <w:r>
        <w:t xml:space="preserve">Single sample integration preserves relevant breast cancer properties</w:t>
      </w:r>
    </w:p>
    <w:p>
      <w:pPr>
        <w:pStyle w:val="FirstParagraph"/>
      </w:pPr>
      <w:r>
        <w:t xml:space="preserve">Since each patient has a different ER signaling score, we assumed that</w:t>
      </w:r>
      <w:r>
        <w:t xml:space="preserve"> </w:t>
      </w:r>
      <w:r>
        <w:t xml:space="preserve">patients should be treated individually, not just binned in two big</w:t>
      </w:r>
      <w:r>
        <w:t xml:space="preserve"> </w:t>
      </w:r>
      <w:r>
        <w:t xml:space="preserve">subgroups as ER+ and ER-. Therefore, it is important to consider each</w:t>
      </w:r>
      <w:r>
        <w:t xml:space="preserve"> </w:t>
      </w:r>
      <w:r>
        <w:t xml:space="preserve">patient individually. We developed a single sample</w:t>
      </w:r>
      <w:r>
        <w:t xml:space="preserve"> </w:t>
      </w:r>
      <w:r>
        <w:t xml:space="preserve">batch effect removal method (see methods section)</w:t>
      </w:r>
      <w:r>
        <w:t xml:space="preserve"> </w:t>
      </w:r>
      <w:r>
        <w:t xml:space="preserve">to integrate microarray and bulk RNA-seq and create a molecular landscape.</w:t>
      </w:r>
      <w:r>
        <w:t xml:space="preserve"> </w:t>
      </w:r>
      <w:r>
        <w:t xml:space="preserve">The advantage of the method is that given a new sample,</w:t>
      </w:r>
      <w:r>
        <w:t xml:space="preserve"> </w:t>
      </w:r>
      <w:r>
        <w:t xml:space="preserve">it can easily be integrated with all the other previous</w:t>
      </w:r>
      <w:r>
        <w:t xml:space="preserve"> </w:t>
      </w:r>
      <w:r>
        <w:t xml:space="preserve">samples without any retraining.</w:t>
      </w:r>
    </w:p>
    <w:p>
      <w:pPr>
        <w:pStyle w:val="BodyText"/>
      </w:pPr>
      <w:r>
        <w:t xml:space="preserve">The first step is to normalize the samples to the same scale.</w:t>
      </w:r>
      <w:r>
        <w:t xml:space="preserve"> </w:t>
      </w:r>
      <w:r>
        <w:t xml:space="preserve">The average ranking of housekeeping genes distribution is similar among the</w:t>
      </w:r>
      <w:r>
        <w:t xml:space="preserve"> </w:t>
      </w:r>
      <w:r>
        <w:t xml:space="preserve">two RNA-seq datasets, SCAN-B and TCGA and their mean values are higher</w:t>
      </w:r>
      <w:r>
        <w:t xml:space="preserve"> </w:t>
      </w:r>
      <w:r>
        <w:t xml:space="preserve">than the mean of the distribution on METABRIC (Fig S1a). Moreover the</w:t>
      </w:r>
      <w:r>
        <w:t xml:space="preserve"> </w:t>
      </w:r>
      <w:r>
        <w:t xml:space="preserve">normalization preserves essential characteristics of the breast cancer</w:t>
      </w:r>
      <w:r>
        <w:t xml:space="preserve"> </w:t>
      </w:r>
      <w:r>
        <w:t xml:space="preserve">biology (Fig S1b).</w:t>
      </w:r>
    </w:p>
    <w:p>
      <w:pPr>
        <w:pStyle w:val="BodyText"/>
      </w:pPr>
      <w:r>
        <w:t xml:space="preserve">The biplot in</w:t>
      </w:r>
      <w:r>
        <w:t xml:space="preserve"> </w:t>
      </w:r>
      <w:hyperlink w:anchor="fig-02">
        <w:r>
          <w:rPr>
            <w:rStyle w:val="Hyperlink"/>
          </w:rPr>
          <w:t xml:space="preserve">Figure 2</w:t>
        </w:r>
      </w:hyperlink>
      <w:r>
        <w:t xml:space="preserve"> </w:t>
      </w:r>
      <w:r>
        <w:t xml:space="preserve">(a) with the third and fourth</w:t>
      </w:r>
      <w:r>
        <w:t xml:space="preserve"> </w:t>
      </w:r>
      <w:r>
        <w:t xml:space="preserve">components from TCGA and METABRIC samples shows that the samples are well</w:t>
      </w:r>
      <w:r>
        <w:t xml:space="preserve"> </w:t>
      </w:r>
      <w:r>
        <w:t xml:space="preserve">integrated. All samples, including those using for training</w:t>
      </w:r>
      <w:r>
        <w:t xml:space="preserve"> </w:t>
      </w:r>
      <w:r>
        <w:t xml:space="preserve">and validation, are plotted. The third components corresponds</w:t>
      </w:r>
      <w:r>
        <w:t xml:space="preserve"> </w:t>
      </w:r>
      <w:r>
        <w:t xml:space="preserve">to the separation between ER+ and ER- BC patients in</w:t>
      </w:r>
      <w:r>
        <w:t xml:space="preserve"> </w:t>
      </w:r>
      <w:r>
        <w:t xml:space="preserve">both cohorts (</w:t>
      </w:r>
      <w:hyperlink w:anchor="fig-02">
        <w:r>
          <w:rPr>
            <w:rStyle w:val="Hyperlink"/>
          </w:rPr>
          <w:t xml:space="preserve">Figure 2</w:t>
        </w:r>
      </w:hyperlink>
      <w:r>
        <w:t xml:space="preserve"> </w:t>
      </w:r>
      <w:r>
        <w:t xml:space="preserve">(b)). A combination of the third and fourth components</w:t>
      </w:r>
      <w:r>
        <w:t xml:space="preserve"> </w:t>
      </w:r>
      <w:r>
        <w:t xml:space="preserve">shows a good distinction among the PAM50 molecular subtypes (</w:t>
      </w:r>
      <w:hyperlink w:anchor="fig-02">
        <w:r>
          <w:rPr>
            <w:rStyle w:val="Hyperlink"/>
          </w:rPr>
          <w:t xml:space="preserve">Figure 2</w:t>
        </w:r>
      </w:hyperlink>
      <w:r>
        <w:t xml:space="preserve"> </w:t>
      </w:r>
      <w:r>
        <w:t xml:space="preserve">(c)).</w:t>
      </w:r>
      <w:r>
        <w:t xml:space="preserve"> </w:t>
      </w:r>
      <w:r>
        <w:t xml:space="preserve">The fourth component is mostly dividing the luminal A and luminal B subtypes,</w:t>
      </w:r>
      <w:r>
        <w:t xml:space="preserve"> </w:t>
      </w:r>
      <w:r>
        <w:t xml:space="preserve">whereas the normal-like subtype is spread across the third and fourth</w:t>
      </w:r>
      <w:r>
        <w:t xml:space="preserve"> </w:t>
      </w:r>
      <w:r>
        <w:t xml:space="preserve">component. This also highlights the fact that one cannot interpret the</w:t>
      </w:r>
      <w:r>
        <w:t xml:space="preserve"> </w:t>
      </w:r>
      <w:r>
        <w:t xml:space="preserve">PCA locations globally, rather when comparing samples one should consider</w:t>
      </w:r>
      <w:r>
        <w:t xml:space="preserve"> </w:t>
      </w:r>
      <w:r>
        <w:t xml:space="preserve">only its neighborhood.</w:t>
      </w:r>
    </w:p>
    <w:p>
      <w:pPr>
        <w:pStyle w:val="BodyText"/>
      </w:pPr>
      <w:r>
        <w:t xml:space="preserve">As pointed out before, ER status should be considered</w:t>
      </w:r>
      <w:r>
        <w:t xml:space="preserve"> </w:t>
      </w:r>
      <w:r>
        <w:t xml:space="preserve">continuous and not dichotomous,</w:t>
      </w:r>
      <w:r>
        <w:t xml:space="preserve"> </w:t>
      </w:r>
      <w:hyperlink w:anchor="fig-02">
        <w:r>
          <w:rPr>
            <w:rStyle w:val="Hyperlink"/>
          </w:rPr>
          <w:t xml:space="preserve">Figure 2</w:t>
        </w:r>
      </w:hyperlink>
      <w:r>
        <w:t xml:space="preserve"> </w:t>
      </w:r>
      <w:r>
        <w:t xml:space="preserve">(d) shows a gradient of the</w:t>
      </w:r>
      <w:r>
        <w:t xml:space="preserve"> </w:t>
      </w:r>
      <w:r>
        <w:t xml:space="preserve">ER signaling score</w:t>
      </w:r>
      <w:r>
        <w:t xml:space="preserve"> </w:t>
      </w:r>
      <m:oMath>
        <m:r>
          <m:t>S</m:t>
        </m:r>
        <m:r>
          <m:t>E</m:t>
        </m:r>
        <m:sSub>
          <m:e>
            <m:r>
              <m:t>T</m:t>
            </m:r>
          </m:e>
          <m:sub>
            <m:r>
              <m:t>E</m:t>
            </m:r>
            <m:r>
              <m:t>R</m:t>
            </m:r>
            <m:r>
              <m:rPr>
                <m:sty m:val="p"/>
              </m:rPr>
              <m:t>/</m:t>
            </m:r>
            <m:r>
              <m:t>P</m:t>
            </m:r>
            <m:r>
              <m:t>R</m:t>
            </m:r>
          </m:sub>
        </m:sSub>
      </m:oMath>
      <w:r>
        <w:t xml:space="preserve">. The higher values are on the far right</w:t>
      </w:r>
      <w:r>
        <w:t xml:space="preserve"> </w:t>
      </w:r>
      <w:r>
        <w:t xml:space="preserve">of the third component, going to negative values as one goes from right</w:t>
      </w:r>
      <w:r>
        <w:t xml:space="preserve"> </w:t>
      </w:r>
      <w:r>
        <w:t xml:space="preserve">to left, i.e., moving from a more ER+ status to the ER-. There are</w:t>
      </w:r>
      <w:r>
        <w:t xml:space="preserve"> </w:t>
      </w:r>
      <w:r>
        <w:t xml:space="preserve">other pathways driving the distinction between samples, such as</w:t>
      </w:r>
      <w:r>
        <w:t xml:space="preserve"> </w:t>
      </w:r>
      <w:r>
        <w:t xml:space="preserve">G2M checkpoint, epithelial to mesenchymal transition, DNA</w:t>
      </w:r>
      <w:r>
        <w:t xml:space="preserve"> </w:t>
      </w:r>
      <w:r>
        <w:t xml:space="preserve">repair and others (supplementary figure 2; 2.20 from book).</w:t>
      </w:r>
    </w:p>
    <w:tbl>
      <w:tblPr>
        <w:tblStyle w:val="Table"/>
        <w:tblW w:type="pct" w:w="5000"/>
        <w:tblLook w:firstRow="0" w:lastRow="0" w:firstColumn="0" w:lastColumn="0" w:noHBand="0" w:noVBand="0" w:val="0000"/>
      </w:tblPr>
      <w:tblGrid>
        <w:gridCol w:w="7920"/>
      </w:tblGrid>
      <w:tr>
        <w:tc>
          <w:tcPr/>
          <w:bookmarkStart w:id="40" w:name="fig-02"/>
          <w:p>
            <w:pPr>
              <w:pStyle w:val="Figure"/>
              <w:jc w:val="center"/>
            </w:pPr>
            <w:r>
              <w:drawing>
                <wp:inline>
                  <wp:extent cx="5334000" cy="3816653"/>
                  <wp:effectExtent b="0" l="0" r="0" t="0"/>
                  <wp:docPr descr="" title="" id="38" name="Picture"/>
                  <a:graphic>
                    <a:graphicData uri="http://schemas.openxmlformats.org/drawingml/2006/picture">
                      <pic:pic>
                        <pic:nvPicPr>
                          <pic:cNvPr descr="images/png/figure02.png" id="39" name="Picture"/>
                          <pic:cNvPicPr>
                            <a:picLocks noChangeArrowheads="1" noChangeAspect="1"/>
                          </pic:cNvPicPr>
                        </pic:nvPicPr>
                        <pic:blipFill>
                          <a:blip r:embed="rId37"/>
                          <a:stretch>
                            <a:fillRect/>
                          </a:stretch>
                        </pic:blipFill>
                        <pic:spPr bwMode="auto">
                          <a:xfrm>
                            <a:off x="0" y="0"/>
                            <a:ext cx="5334000" cy="38166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Biplot using the third and fourth components on TCGA and METABRIC samples. Colored by cohort. (b) Same as</w:t>
            </w:r>
            <w:r>
              <w:t xml:space="preserve"> </w:t>
            </w:r>
            <w:r>
              <w:rPr>
                <w:bCs/>
                <w:b/>
              </w:rPr>
              <w:t xml:space="preserve">a</w:t>
            </w:r>
            <w:r>
              <w:t xml:space="preserve">, colored by ER status. (c) Same as</w:t>
            </w:r>
            <w:r>
              <w:t xml:space="preserve"> </w:t>
            </w:r>
            <w:r>
              <w:rPr>
                <w:bCs/>
                <w:b/>
              </w:rPr>
              <w:t xml:space="preserve">a</w:t>
            </w:r>
            <w:r>
              <w:t xml:space="preserve">, colored by PAM50 molecular subtype. (d) Hex grid calculated on the biplot of the fourth and third component. Each hex is colored based on its average value of the SET ER/PR signature.</w:t>
            </w:r>
          </w:p>
          <w:bookmarkEnd w:id="40"/>
        </w:tc>
      </w:tr>
    </w:tbl>
    <w:bookmarkEnd w:id="41"/>
    <w:bookmarkStart w:id="46" w:name="X72d4eabaa79479c4c1de9835595e78bbcbc554c"/>
    <w:p>
      <w:pPr>
        <w:pStyle w:val="Heading2"/>
      </w:pPr>
      <w:r>
        <w:t xml:space="preserve">Embedding is robust to missing genes and generalized to a validation cohort</w:t>
      </w:r>
    </w:p>
    <w:p>
      <w:pPr>
        <w:pStyle w:val="FirstParagraph"/>
      </w:pPr>
      <w:r>
        <w:t xml:space="preserve">METABRIC and TCGA were used to train and validate the projections. SCANB was</w:t>
      </w:r>
      <w:r>
        <w:t xml:space="preserve"> </w:t>
      </w:r>
      <w:r>
        <w:t xml:space="preserve">used as an external validation cohort. SCANB is well mixed with both</w:t>
      </w:r>
      <w:r>
        <w:t xml:space="preserve"> </w:t>
      </w:r>
      <w:r>
        <w:t xml:space="preserve">METABRIC and TCGA samples (</w:t>
      </w:r>
      <w:hyperlink w:anchor="fig-03">
        <w:r>
          <w:rPr>
            <w:rStyle w:val="Hyperlink"/>
          </w:rPr>
          <w:t xml:space="preserve">Figure 3</w:t>
        </w:r>
      </w:hyperlink>
      <w:r>
        <w:t xml:space="preserve"> </w:t>
      </w:r>
      <w:r>
        <w:t xml:space="preserve">(a)). ER+ and ER- BC patients are well</w:t>
      </w:r>
      <w:r>
        <w:t xml:space="preserve"> </w:t>
      </w:r>
      <w:r>
        <w:t xml:space="preserve">separated (</w:t>
      </w:r>
      <w:hyperlink w:anchor="fig-03">
        <w:r>
          <w:rPr>
            <w:rStyle w:val="Hyperlink"/>
          </w:rPr>
          <w:t xml:space="preserve">Figure 3</w:t>
        </w:r>
      </w:hyperlink>
      <w:r>
        <w:t xml:space="preserve"> </w:t>
      </w:r>
      <w:r>
        <w:t xml:space="preserve">(b)) and the procedure can also distinguish the</w:t>
      </w:r>
      <w:r>
        <w:t xml:space="preserve"> </w:t>
      </w:r>
      <w:r>
        <w:t xml:space="preserve">molecular subtypes (</w:t>
      </w:r>
      <w:hyperlink w:anchor="fig-03">
        <w:r>
          <w:rPr>
            <w:rStyle w:val="Hyperlink"/>
          </w:rPr>
          <w:t xml:space="preserve">Figure 3</w:t>
        </w:r>
      </w:hyperlink>
      <w:r>
        <w:t xml:space="preserve"> </w:t>
      </w:r>
      <w:r>
        <w:t xml:space="preserve">(c)). As an RNA-seq cohort, it is expected that</w:t>
      </w:r>
      <w:r>
        <w:t xml:space="preserve"> </w:t>
      </w:r>
      <w:r>
        <w:t xml:space="preserve">SCANB samples will be closer to TCGA than to METABRIC when removing batch</w:t>
      </w:r>
      <w:r>
        <w:t xml:space="preserve"> </w:t>
      </w:r>
      <w:r>
        <w:t xml:space="preserve">effects, due to platform biases and initial scale of the genes. Biplot of</w:t>
      </w:r>
      <w:r>
        <w:t xml:space="preserve"> </w:t>
      </w:r>
      <w:r>
        <w:t xml:space="preserve">PC1 and PC2 (</w:t>
      </w:r>
      <w:hyperlink w:anchor="fig-03">
        <w:r>
          <w:rPr>
            <w:rStyle w:val="Hyperlink"/>
          </w:rPr>
          <w:t xml:space="preserve">Figure 3</w:t>
        </w:r>
      </w:hyperlink>
      <w:r>
        <w:t xml:space="preserve"> </w:t>
      </w:r>
      <w:r>
        <w:t xml:space="preserve">(d)) shows that SCANB is closer to TCGA than to</w:t>
      </w:r>
      <w:r>
        <w:t xml:space="preserve"> </w:t>
      </w:r>
      <w:r>
        <w:t xml:space="preserve">METABRIC. It is also in between the two cohorts. We also show</w:t>
      </w:r>
      <w:r>
        <w:t xml:space="preserve"> </w:t>
      </w:r>
      <w:r>
        <w:t xml:space="preserve">that the embedding works for the SMC cohort</w:t>
      </w:r>
      <w:r>
        <w:t xml:space="preserve"> </w:t>
      </w:r>
      <w:r>
        <w:t xml:space="preserve">(29)</w:t>
      </w:r>
      <w:r>
        <w:t xml:space="preserve"> </w:t>
      </w:r>
      <w:r>
        <w:t xml:space="preserve">(supplementary figure 3; 3.14 from the book).</w:t>
      </w:r>
    </w:p>
    <w:p>
      <w:pPr>
        <w:pStyle w:val="BodyText"/>
      </w:pPr>
      <w:r>
        <w:t xml:space="preserve">In order to check the robustness of the procedure, we redid all the</w:t>
      </w:r>
      <w:r>
        <w:t xml:space="preserve"> </w:t>
      </w:r>
      <w:r>
        <w:t xml:space="preserve">pipeline 10 times with 10 random sets of patient samples from TCGA and</w:t>
      </w:r>
      <w:r>
        <w:t xml:space="preserve"> </w:t>
      </w:r>
      <w:r>
        <w:t xml:space="preserve">METABRIC, simulating a cross validation process.</w:t>
      </w:r>
      <w:r>
        <w:t xml:space="preserve"> </w:t>
      </w:r>
      <w:r>
        <w:t xml:space="preserve">The PCA embedding is invariant to rotation, translation and reflection</w:t>
      </w:r>
      <w:r>
        <w:t xml:space="preserve"> </w:t>
      </w:r>
      <w:r>
        <w:t xml:space="preserve">(</w:t>
      </w:r>
      <w:hyperlink w:anchor="fig-03">
        <w:r>
          <w:rPr>
            <w:rStyle w:val="Hyperlink"/>
          </w:rPr>
          <w:t xml:space="preserve">Figure 3</w:t>
        </w:r>
      </w:hyperlink>
      <w:r>
        <w:t xml:space="preserve"> </w:t>
      </w:r>
      <w:r>
        <w:t xml:space="preserve">(e)). Another problem that arises with publicly available</w:t>
      </w:r>
      <w:r>
        <w:t xml:space="preserve"> </w:t>
      </w:r>
      <w:r>
        <w:t xml:space="preserve">datasets, is the fact that there are missing genes. We try to understand</w:t>
      </w:r>
      <w:r>
        <w:t xml:space="preserve"> </w:t>
      </w:r>
      <w:r>
        <w:t xml:space="preserve">the effect of missing genes in the embedding based on their loading values.</w:t>
      </w:r>
      <w:r>
        <w:t xml:space="preserve"> </w:t>
      </w:r>
      <w:r>
        <w:t xml:space="preserve">Ideally if a low amount of genes with high loadings are missing, this should</w:t>
      </w:r>
      <w:r>
        <w:t xml:space="preserve"> </w:t>
      </w:r>
      <w:r>
        <w:t xml:space="preserve">not affect very much the embedding. On the other hand, the more genes missing</w:t>
      </w:r>
      <w:r>
        <w:t xml:space="preserve"> </w:t>
      </w:r>
      <w:r>
        <w:t xml:space="preserve">with high loadings, the more it will impact the embedding. We removed 200</w:t>
      </w:r>
      <w:r>
        <w:t xml:space="preserve"> </w:t>
      </w:r>
      <w:r>
        <w:t xml:space="preserve">genes in total with a varying proportion of top loading genes</w:t>
      </w:r>
      <w:r>
        <w:t xml:space="preserve"> </w:t>
      </w:r>
      <w:r>
        <w:t xml:space="preserve">(ranging from 0 to 100% in a 5% step). The number of top loading genes</w:t>
      </w:r>
      <w:r>
        <w:t xml:space="preserve"> </w:t>
      </w:r>
      <w:r>
        <w:t xml:space="preserve">missing from the dataset is key for the embedding (</w:t>
      </w:r>
      <w:hyperlink w:anchor="fig-03">
        <w:r>
          <w:rPr>
            <w:rStyle w:val="Hyperlink"/>
          </w:rPr>
          <w:t xml:space="preserve">Figure 3</w:t>
        </w:r>
      </w:hyperlink>
      <w:r>
        <w:t xml:space="preserve"> </w:t>
      </w:r>
      <w:r>
        <w:t xml:space="preserve">(f)). The</w:t>
      </w:r>
      <w:r>
        <w:t xml:space="preserve"> </w:t>
      </w:r>
      <w:r>
        <w:t xml:space="preserve">higher the proportion the less precise the embedding is.</w:t>
      </w:r>
    </w:p>
    <w:tbl>
      <w:tblPr>
        <w:tblStyle w:val="Table"/>
        <w:tblW w:type="pct" w:w="5000"/>
        <w:tblLook w:firstRow="0" w:lastRow="0" w:firstColumn="0" w:lastColumn="0" w:noHBand="0" w:noVBand="0" w:val="0000"/>
      </w:tblPr>
      <w:tblGrid>
        <w:gridCol w:w="7920"/>
      </w:tblGrid>
      <w:tr>
        <w:tc>
          <w:tcPr/>
          <w:bookmarkStart w:id="45" w:name="fig-03"/>
          <w:p>
            <w:pPr>
              <w:pStyle w:val="Figure"/>
              <w:jc w:val="center"/>
            </w:pPr>
            <w:r>
              <w:drawing>
                <wp:inline>
                  <wp:extent cx="5334000" cy="5626902"/>
                  <wp:effectExtent b="0" l="0" r="0" t="0"/>
                  <wp:docPr descr="" title="" id="43" name="Picture"/>
                  <a:graphic>
                    <a:graphicData uri="http://schemas.openxmlformats.org/drawingml/2006/picture">
                      <pic:pic>
                        <pic:nvPicPr>
                          <pic:cNvPr descr="images/png/figure03.png" id="44" name="Picture"/>
                          <pic:cNvPicPr>
                            <a:picLocks noChangeArrowheads="1" noChangeAspect="1"/>
                          </pic:cNvPicPr>
                        </pic:nvPicPr>
                        <pic:blipFill>
                          <a:blip r:embed="rId42"/>
                          <a:stretch>
                            <a:fillRect/>
                          </a:stretch>
                        </pic:blipFill>
                        <pic:spPr bwMode="auto">
                          <a:xfrm>
                            <a:off x="0" y="0"/>
                            <a:ext cx="5334000" cy="56269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Validation of the molecular landscape with an external cohort (a) Biplot using the third and fourth components and now including all samples from the three cohorts: TCGA, METABRIC and SCANB. (b) Same as</w:t>
            </w:r>
            <w:r>
              <w:t xml:space="preserve"> </w:t>
            </w:r>
            <w:r>
              <w:rPr>
                <w:bCs/>
                <w:b/>
              </w:rPr>
              <w:t xml:space="preserve">a</w:t>
            </w:r>
            <w:r>
              <w:t xml:space="preserve">, colored by ER status. (c) Same as</w:t>
            </w:r>
            <w:r>
              <w:t xml:space="preserve"> </w:t>
            </w:r>
            <w:r>
              <w:rPr>
                <w:bCs/>
                <w:b/>
              </w:rPr>
              <w:t xml:space="preserve">a</w:t>
            </w:r>
            <w:r>
              <w:t xml:space="preserve">, colored by PAM50 molecular subtype. (d) Biplot using the first and second component of TCGA, METABRIC and SCANB. (e) Embedding of random samples given different training sets for PCA. Blue dots correspond to the original embedding of a sample and red dots correspond to the new embedding given the new training set. (f) Biplot of all possible embeddings of sample given a certain proportion of top loadings missing in the dataset.</w:t>
            </w:r>
          </w:p>
          <w:bookmarkEnd w:id="45"/>
        </w:tc>
      </w:tr>
    </w:tbl>
    <w:bookmarkEnd w:id="46"/>
    <w:bookmarkStart w:id="51" w:name="X8345ded28a5490ffa764d9d159499b30b864357"/>
    <w:p>
      <w:pPr>
        <w:pStyle w:val="Heading2"/>
      </w:pPr>
      <w:r>
        <w:t xml:space="preserve">Molecular landscape is a tool to understand and explore patient heterogeneity</w:t>
      </w:r>
    </w:p>
    <w:p>
      <w:pPr>
        <w:pStyle w:val="FirstParagraph"/>
      </w:pPr>
      <w:r>
        <w:t xml:space="preserve">Since the molecular landscape relies in a single sample embedding, we can</w:t>
      </w:r>
      <w:r>
        <w:t xml:space="preserve"> </w:t>
      </w:r>
      <w:r>
        <w:t xml:space="preserve">add samples from any cohort with relative good data. The POETIC trial</w:t>
      </w:r>
      <w:r>
        <w:t xml:space="preserve"> </w:t>
      </w:r>
      <w:r>
        <w:t xml:space="preserve">(30)</w:t>
      </w:r>
      <w:r>
        <w:t xml:space="preserve"> </w:t>
      </w:r>
      <w:r>
        <w:t xml:space="preserve">was a trial that evaluated the use of perioperative</w:t>
      </w:r>
      <w:r>
        <w:t xml:space="preserve"> </w:t>
      </w:r>
      <w:r>
        <w:t xml:space="preserve">aromatase inhibitors in ER+, postmenopausal BC patients. Its primary</w:t>
      </w:r>
      <w:r>
        <w:t xml:space="preserve"> </w:t>
      </w:r>
      <w:r>
        <w:t xml:space="preserve">endpoint was time to recurrence.</w:t>
      </w:r>
      <w:r>
        <w:t xml:space="preserve"> </w:t>
      </w:r>
      <w:r>
        <w:t xml:space="preserve">They sent for microarray hybridization matched samples from baseline</w:t>
      </w:r>
      <w:r>
        <w:t xml:space="preserve"> </w:t>
      </w:r>
      <w:r>
        <w:t xml:space="preserve">(before treatment) and at surgery (after an average of 14 days of treatment)</w:t>
      </w:r>
      <w:r>
        <w:t xml:space="preserve"> </w:t>
      </w:r>
      <w:r>
        <w:t xml:space="preserve">(18)</w:t>
      </w:r>
      <w:r>
        <w:t xml:space="preserve">. There are also untreated patients, used to control for sample</w:t>
      </w:r>
      <w:r>
        <w:t xml:space="preserve"> </w:t>
      </w:r>
      <w:r>
        <w:t xml:space="preserve">processing artefacts. Moreover, the patients have matched Ki67 percentage levels,</w:t>
      </w:r>
      <w:r>
        <w:t xml:space="preserve"> </w:t>
      </w:r>
      <w:r>
        <w:t xml:space="preserve">which can be considered an indication of how well a patient responded to</w:t>
      </w:r>
      <w:r>
        <w:t xml:space="preserve"> </w:t>
      </w:r>
      <w:r>
        <w:t xml:space="preserve">the endocrine therapy. Patients with more than 5% of baseline Ki67 and a</w:t>
      </w:r>
      <w:r>
        <w:t xml:space="preserve"> </w:t>
      </w:r>
      <w:r>
        <w:t xml:space="preserve">reduction of 60% upon endocrine therapy are considered responders, otherwise</w:t>
      </w:r>
      <w:r>
        <w:t xml:space="preserve"> </w:t>
      </w:r>
      <w:r>
        <w:t xml:space="preserve">they are called non responders.</w:t>
      </w:r>
    </w:p>
    <w:p>
      <w:pPr>
        <w:pStyle w:val="BodyText"/>
      </w:pPr>
      <w:r>
        <w:t xml:space="preserve">The molecular landscape can shed light on the differences between</w:t>
      </w:r>
      <w:r>
        <w:t xml:space="preserve"> </w:t>
      </w:r>
      <w:r>
        <w:t xml:space="preserve">responders and non responders.</w:t>
      </w:r>
      <w:r>
        <w:t xml:space="preserve"> </w:t>
      </w:r>
      <w:r>
        <w:t xml:space="preserve">We embedded the POETIC trial samples using the procedure (</w:t>
      </w:r>
      <w:hyperlink w:anchor="fig-04">
        <w:r>
          <w:rPr>
            <w:rStyle w:val="Hyperlink"/>
          </w:rPr>
          <w:t xml:space="preserve">Figure 4</w:t>
        </w:r>
      </w:hyperlink>
      <w:r>
        <w:t xml:space="preserve"> </w:t>
      </w:r>
      <w:r>
        <w:t xml:space="preserve">(a) left).</w:t>
      </w:r>
      <w:r>
        <w:t xml:space="preserve"> </w:t>
      </w:r>
      <w:r>
        <w:t xml:space="preserve">The samples are spread across the whole molecular landscape, showing that</w:t>
      </w:r>
      <w:r>
        <w:t xml:space="preserve"> </w:t>
      </w:r>
      <w:r>
        <w:t xml:space="preserve">patients indeed have different molecular biological properties.</w:t>
      </w:r>
      <w:r>
        <w:t xml:space="preserve"> </w:t>
      </w:r>
      <w:r>
        <w:t xml:space="preserve">Furthermore, the POETIC samples are embedded closer to the</w:t>
      </w:r>
      <w:r>
        <w:t xml:space="preserve"> </w:t>
      </w:r>
      <w:r>
        <w:t xml:space="preserve">METABRIC samples (supplementary figure 4; 4.3 from the book). Given</w:t>
      </w:r>
      <w:r>
        <w:t xml:space="preserve"> </w:t>
      </w:r>
      <w:r>
        <w:t xml:space="preserve">the available information, the patients that are ER+ and in the</w:t>
      </w:r>
      <w:r>
        <w:t xml:space="preserve"> </w:t>
      </w:r>
      <w:r>
        <w:t xml:space="preserve">left part of the landscape (ER- patients), are all non responders</w:t>
      </w:r>
      <w:r>
        <w:t xml:space="preserve"> </w:t>
      </w:r>
      <w:r>
        <w:t xml:space="preserve">(</w:t>
      </w:r>
      <w:hyperlink w:anchor="fig-04">
        <w:r>
          <w:rPr>
            <w:rStyle w:val="Hyperlink"/>
          </w:rPr>
          <w:t xml:space="preserve">Figure 4</w:t>
        </w:r>
      </w:hyperlink>
      <w:r>
        <w:t xml:space="preserve"> </w:t>
      </w:r>
      <w:r>
        <w:t xml:space="preserve">(a) right).</w:t>
      </w:r>
      <w:r>
        <w:t xml:space="preserve"> </w:t>
      </w:r>
      <w:r>
        <w:t xml:space="preserve">This highlights the importance to look more carefully to ER+ patients.</w:t>
      </w:r>
      <w:r>
        <w:t xml:space="preserve"> </w:t>
      </w:r>
      <w:r>
        <w:t xml:space="preserve">We selected two patients, a responder and non responder that are close</w:t>
      </w:r>
      <w:r>
        <w:t xml:space="preserve"> </w:t>
      </w:r>
      <w:r>
        <w:t xml:space="preserve">in the embedding (</w:t>
      </w:r>
      <w:hyperlink w:anchor="fig-04">
        <w:r>
          <w:rPr>
            <w:rStyle w:val="Hyperlink"/>
          </w:rPr>
          <w:t xml:space="preserve">Figure 4</w:t>
        </w:r>
      </w:hyperlink>
      <w:r>
        <w:t xml:space="preserve"> </w:t>
      </w:r>
      <w:r>
        <w:t xml:space="preserve">(b)) to highlight their molecular</w:t>
      </w:r>
      <w:r>
        <w:t xml:space="preserve"> </w:t>
      </w:r>
      <w:r>
        <w:t xml:space="preserve">differences and see what is their context.</w:t>
      </w:r>
      <w:r>
        <w:t xml:space="preserve"> </w:t>
      </w:r>
      <w:hyperlink w:anchor="fig-04">
        <w:r>
          <w:rPr>
            <w:rStyle w:val="Hyperlink"/>
          </w:rPr>
          <w:t xml:space="preserve">Figure 4</w:t>
        </w:r>
      </w:hyperlink>
      <w:r>
        <w:t xml:space="preserve"> </w:t>
      </w:r>
      <w:r>
        <w:t xml:space="preserve">(c) shows the average</w:t>
      </w:r>
      <w:r>
        <w:t xml:space="preserve"> </w:t>
      </w:r>
      <w:r>
        <w:t xml:space="preserve">posterior distribution of the neighborhood for the responder patient. The</w:t>
      </w:r>
      <w:r>
        <w:t xml:space="preserve"> </w:t>
      </w:r>
      <w:r>
        <w:t xml:space="preserve">responder patient has a ER signaling score higher than the average.</w:t>
      </w:r>
      <w:r>
        <w:t xml:space="preserve"> </w:t>
      </w:r>
      <w:r>
        <w:t xml:space="preserve">On the other hand, the non responder has a smaller ER signaling score</w:t>
      </w:r>
      <w:r>
        <w:t xml:space="preserve"> </w:t>
      </w:r>
      <w:r>
        <w:t xml:space="preserve">than the average (</w:t>
      </w:r>
      <w:hyperlink w:anchor="fig-04">
        <w:r>
          <w:rPr>
            <w:rStyle w:val="Hyperlink"/>
          </w:rPr>
          <w:t xml:space="preserve">Figure 4</w:t>
        </w:r>
      </w:hyperlink>
      <w:r>
        <w:t xml:space="preserve"> </w:t>
      </w:r>
      <w:r>
        <w:t xml:space="preserve">(d)) and also a higher androgen signaling</w:t>
      </w:r>
      <w:r>
        <w:t xml:space="preserve"> </w:t>
      </w:r>
      <w:r>
        <w:t xml:space="preserve">score (Androgen response). Other pathways and their average posterior</w:t>
      </w:r>
      <w:r>
        <w:t xml:space="preserve"> </w:t>
      </w:r>
      <w:r>
        <w:t xml:space="preserve">distributions are shown for both patients.</w:t>
      </w:r>
    </w:p>
    <w:tbl>
      <w:tblPr>
        <w:tblStyle w:val="Table"/>
        <w:tblW w:type="pct" w:w="5000"/>
        <w:tblLook w:firstRow="0" w:lastRow="0" w:firstColumn="0" w:lastColumn="0" w:noHBand="0" w:noVBand="0" w:val="0000"/>
      </w:tblPr>
      <w:tblGrid>
        <w:gridCol w:w="7920"/>
      </w:tblGrid>
      <w:tr>
        <w:tc>
          <w:tcPr/>
          <w:bookmarkStart w:id="50" w:name="fig-04"/>
          <w:p>
            <w:pPr>
              <w:pStyle w:val="Figure"/>
              <w:jc w:val="center"/>
            </w:pPr>
            <w:r>
              <w:drawing>
                <wp:inline>
                  <wp:extent cx="5334000" cy="2761522"/>
                  <wp:effectExtent b="0" l="0" r="0" t="0"/>
                  <wp:docPr descr="" title="" id="48" name="Picture"/>
                  <a:graphic>
                    <a:graphicData uri="http://schemas.openxmlformats.org/drawingml/2006/picture">
                      <pic:pic>
                        <pic:nvPicPr>
                          <pic:cNvPr descr="images/png/figure04.png" id="49" name="Picture"/>
                          <pic:cNvPicPr>
                            <a:picLocks noChangeArrowheads="1" noChangeAspect="1"/>
                          </pic:cNvPicPr>
                        </pic:nvPicPr>
                        <pic:blipFill>
                          <a:blip r:embed="rId47"/>
                          <a:stretch>
                            <a:fillRect/>
                          </a:stretch>
                        </pic:blipFill>
                        <pic:spPr bwMode="auto">
                          <a:xfrm>
                            <a:off x="0" y="0"/>
                            <a:ext cx="5334000" cy="276152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Embedding of the POETIC cohort into the molecular landscape and pathway analysis for patient samples. (a) Biplots of the POETIC samples (baseline and surgery) into the molecular landscape. Left plot is colored by ER status and right plot is colored by molecular subtype PAM50 when available. (b) Biplot highlighting two patients with similar embedding and different response status. (c) Posterior distributions of the average scores in the neighborhood of the responder patient. Red line corresponds to the patient score. (d) Posterior distributions of the average scores in the neighborhood of the</w:t>
            </w:r>
            <w:r>
              <w:t xml:space="preserve"> </w:t>
            </w:r>
            <w:r>
              <w:rPr>
                <w:bCs/>
                <w:b/>
              </w:rPr>
              <w:t xml:space="preserve">non</w:t>
            </w:r>
            <w:r>
              <w:t xml:space="preserve">-responder patient. Red line corresponds to the patient score.</w:t>
            </w:r>
          </w:p>
          <w:bookmarkEnd w:id="50"/>
        </w:tc>
      </w:tr>
    </w:tbl>
    <w:bookmarkEnd w:id="51"/>
    <w:bookmarkEnd w:id="52"/>
    <w:bookmarkStart w:id="53" w:name="discussion"/>
    <w:p>
      <w:pPr>
        <w:pStyle w:val="Heading1"/>
      </w:pPr>
      <w:r>
        <w:t xml:space="preserve">Discussion</w:t>
      </w:r>
    </w:p>
    <w:p>
      <w:pPr>
        <w:pStyle w:val="FirstParagraph"/>
      </w:pPr>
      <w:r>
        <w:t xml:space="preserve">Personalized medicine is a key topic in medicine. The goal of better</w:t>
      </w:r>
      <w:r>
        <w:t xml:space="preserve"> </w:t>
      </w:r>
      <w:r>
        <w:t xml:space="preserve">understanding the molecular underpinnings of the diseases leads to a better</w:t>
      </w:r>
      <w:r>
        <w:t xml:space="preserve"> </w:t>
      </w:r>
      <w:r>
        <w:t xml:space="preserve">allocation of treatments and resources in the patient care. We have</w:t>
      </w:r>
      <w:r>
        <w:t xml:space="preserve"> </w:t>
      </w:r>
      <w:r>
        <w:t xml:space="preserve">shown here a possible framework to deal with personalized medicine in</w:t>
      </w:r>
      <w:r>
        <w:t xml:space="preserve"> </w:t>
      </w:r>
      <w:r>
        <w:t xml:space="preserve">breast cancer in general with a focus on ER+ BC patients.</w:t>
      </w:r>
    </w:p>
    <w:p>
      <w:pPr>
        <w:pStyle w:val="BodyText"/>
      </w:pPr>
      <w:r>
        <w:t xml:space="preserve">In general, estrogen receptor status is considered either a dichotomous or</w:t>
      </w:r>
      <w:r>
        <w:t xml:space="preserve"> </w:t>
      </w:r>
      <w:r>
        <w:t xml:space="preserve">trichotomous state</w:t>
      </w:r>
      <w:r>
        <w:t xml:space="preserve"> </w:t>
      </w:r>
      <w:r>
        <w:t xml:space="preserve">(3)</w:t>
      </w:r>
      <w:r>
        <w:t xml:space="preserve">. Breast cancers are classified either in</w:t>
      </w:r>
      <w:r>
        <w:t xml:space="preserve"> </w:t>
      </w:r>
      <w:r>
        <w:t xml:space="preserve">ER+ or ER- based on their protein expression levels and IHC. For those tumors</w:t>
      </w:r>
      <w:r>
        <w:t xml:space="preserve"> </w:t>
      </w:r>
      <w:r>
        <w:t xml:space="preserve">that are ER+, they can be subdivided into low ER positive (1% &lt; IHC% &lt; 10%)</w:t>
      </w:r>
      <w:r>
        <w:t xml:space="preserve"> </w:t>
      </w:r>
      <w:r>
        <w:t xml:space="preserve">and simply ER positive. Those that are into the low ER positive do not</w:t>
      </w:r>
      <w:r>
        <w:t xml:space="preserve"> </w:t>
      </w:r>
      <w:r>
        <w:t xml:space="preserve">usually benefit as much on endocrine therapy. Here we show using cox</w:t>
      </w:r>
      <w:r>
        <w:t xml:space="preserve"> </w:t>
      </w:r>
      <w:r>
        <w:t xml:space="preserve">regression and multiple</w:t>
      </w:r>
      <w:r>
        <w:t xml:space="preserve"> </w:t>
      </w:r>
      <w:r>
        <w:t xml:space="preserve">big study cohorts</w:t>
      </w:r>
      <w:r>
        <w:t xml:space="preserve"> </w:t>
      </w:r>
      <w:r>
        <w:t xml:space="preserve">(15–17)</w:t>
      </w:r>
      <w:r>
        <w:t xml:space="preserve"> </w:t>
      </w:r>
      <w:r>
        <w:t xml:space="preserve">with both RNA-seq and microarray data, that ER status is more of a continuous</w:t>
      </w:r>
      <w:r>
        <w:t xml:space="preserve"> </w:t>
      </w:r>
      <w:r>
        <w:t xml:space="preserve">rather than a categorical state. This can aid in treatment decision</w:t>
      </w:r>
      <w:r>
        <w:t xml:space="preserve"> </w:t>
      </w:r>
      <w:r>
        <w:t xml:space="preserve">when evaluating the breast cancer. Several gene signatures already are being</w:t>
      </w:r>
      <w:r>
        <w:t xml:space="preserve"> </w:t>
      </w:r>
      <w:r>
        <w:t xml:space="preserve">used, such as OncotypeDX, Mammaprint and Prosigna to assign chemotherapy</w:t>
      </w:r>
      <w:r>
        <w:t xml:space="preserve"> </w:t>
      </w:r>
      <w:r>
        <w:t xml:space="preserve">for those patients with higher risk of recurrence</w:t>
      </w:r>
      <w:r>
        <w:t xml:space="preserve"> </w:t>
      </w:r>
      <w:r>
        <w:t xml:space="preserve">(5–7)</w:t>
      </w:r>
      <w:r>
        <w:t xml:space="preserve">. This score might be</w:t>
      </w:r>
      <w:r>
        <w:t xml:space="preserve"> </w:t>
      </w:r>
      <w:r>
        <w:t xml:space="preserve">associated with the commercial signatures, as it has been shown that</w:t>
      </w:r>
      <w:r>
        <w:t xml:space="preserve"> </w:t>
      </w:r>
      <w:r>
        <w:t xml:space="preserve">OncotypeDX’s estrogen module is highly correlated with the signature</w:t>
      </w:r>
      <w:r>
        <w:t xml:space="preserve"> </w:t>
      </w:r>
      <w:r>
        <w:t xml:space="preserve">itself</w:t>
      </w:r>
      <w:r>
        <w:t xml:space="preserve"> </w:t>
      </w:r>
      <w:r>
        <w:t xml:space="preserve">(11)</w:t>
      </w:r>
      <w:r>
        <w:t xml:space="preserve">.</w:t>
      </w:r>
    </w:p>
    <w:p>
      <w:pPr>
        <w:pStyle w:val="BodyText"/>
      </w:pPr>
      <w:r>
        <w:t xml:space="preserve">Integrating molecular data steaming from different sources is a</w:t>
      </w:r>
      <w:r>
        <w:t xml:space="preserve"> </w:t>
      </w:r>
      <w:r>
        <w:t xml:space="preserve">challenge. On one hand batch effect tools are usually</w:t>
      </w:r>
      <w:r>
        <w:t xml:space="preserve"> </w:t>
      </w:r>
      <w:r>
        <w:t xml:space="preserve">able to remove the batch effects across the different sources of</w:t>
      </w:r>
      <w:r>
        <w:t xml:space="preserve"> </w:t>
      </w:r>
      <w:r>
        <w:t xml:space="preserve">variability</w:t>
      </w:r>
      <w:r>
        <w:t xml:space="preserve"> </w:t>
      </w:r>
      <w:r>
        <w:t xml:space="preserve">(12,13)</w:t>
      </w:r>
      <w:r>
        <w:t xml:space="preserve">, on the other hand they are not</w:t>
      </w:r>
      <w:r>
        <w:t xml:space="preserve"> </w:t>
      </w:r>
      <w:r>
        <w:t xml:space="preserve">single sample based, meaning each time a new sample comes the algorithm runs.</w:t>
      </w:r>
      <w:r>
        <w:t xml:space="preserve"> </w:t>
      </w:r>
      <w:r>
        <w:t xml:space="preserve">It is also based on the fact one has enough data in the different datasets,</w:t>
      </w:r>
      <w:r>
        <w:t xml:space="preserve"> </w:t>
      </w:r>
      <w:r>
        <w:t xml:space="preserve">otherwise it skews the possible integration towards one of the datasets.</w:t>
      </w:r>
      <w:r>
        <w:t xml:space="preserve"> </w:t>
      </w:r>
      <w:r>
        <w:t xml:space="preserve">Here we show by using TCGA, METABRIC and SCANB that it is</w:t>
      </w:r>
      <w:r>
        <w:t xml:space="preserve"> </w:t>
      </w:r>
      <w:r>
        <w:t xml:space="preserve">possible to integrate the samples from these cohorts in a single sample</w:t>
      </w:r>
      <w:r>
        <w:t xml:space="preserve"> </w:t>
      </w:r>
      <w:r>
        <w:t xml:space="preserve">manner. The samples show good mixing when using test samples not seen during</w:t>
      </w:r>
      <w:r>
        <w:t xml:space="preserve"> </w:t>
      </w:r>
      <w:r>
        <w:t xml:space="preserve">the training stage. The embeddings preserve key molecular features of</w:t>
      </w:r>
      <w:r>
        <w:t xml:space="preserve"> </w:t>
      </w:r>
      <w:r>
        <w:t xml:space="preserve">breast cancer. PC3 is clearly driven by estrogen signaling where from</w:t>
      </w:r>
      <w:r>
        <w:t xml:space="preserve"> </w:t>
      </w:r>
      <w:r>
        <w:t xml:space="preserve">right to left there is a gradient of ER positivity. On the other hand,</w:t>
      </w:r>
      <w:r>
        <w:t xml:space="preserve"> </w:t>
      </w:r>
      <w:r>
        <w:t xml:space="preserve">PC4 is what makes a difference between the molecular subtypes</w:t>
      </w:r>
      <w:r>
        <w:t xml:space="preserve"> </w:t>
      </w:r>
      <w:r>
        <w:t xml:space="preserve">luminal A and B, which in practice differ by proliferation status in terms</w:t>
      </w:r>
      <w:r>
        <w:t xml:space="preserve"> </w:t>
      </w:r>
      <w:r>
        <w:t xml:space="preserve">of Ki67 levels</w:t>
      </w:r>
      <w:r>
        <w:t xml:space="preserve"> </w:t>
      </w:r>
      <w:r>
        <w:t xml:space="preserve">(31)</w:t>
      </w:r>
      <w:r>
        <w:t xml:space="preserve">.</w:t>
      </w:r>
    </w:p>
    <w:p>
      <w:pPr>
        <w:pStyle w:val="BodyText"/>
      </w:pPr>
      <w:r>
        <w:t xml:space="preserve">Moreover, the embeddings in a validation set</w:t>
      </w:r>
      <w:r>
        <w:t xml:space="preserve"> </w:t>
      </w:r>
      <w:r>
        <w:t xml:space="preserve">preserve the key features of breast cancer.</w:t>
      </w:r>
      <w:r>
        <w:t xml:space="preserve"> </w:t>
      </w:r>
      <w:r>
        <w:t xml:space="preserve">Samples are projected by their different PAM50 molecular subtypes and</w:t>
      </w:r>
      <w:r>
        <w:t xml:space="preserve"> </w:t>
      </w:r>
      <w:r>
        <w:t xml:space="preserve">there is a gradient of estrogen signaling pathway from ER+ BC</w:t>
      </w:r>
      <w:r>
        <w:t xml:space="preserve"> </w:t>
      </w:r>
      <w:r>
        <w:t xml:space="preserve">towards ER- BC patients. The first two components are the batch effect</w:t>
      </w:r>
      <w:r>
        <w:t xml:space="preserve"> </w:t>
      </w:r>
      <w:r>
        <w:t xml:space="preserve">removal components and SCANB is projected closer to TCGA, since both</w:t>
      </w:r>
      <w:r>
        <w:t xml:space="preserve"> </w:t>
      </w:r>
      <w:r>
        <w:t xml:space="preserve">datasets are RNA-seq. On the other hand, part of the POETIC trial was sequenced</w:t>
      </w:r>
      <w:r>
        <w:t xml:space="preserve"> </w:t>
      </w:r>
      <w:r>
        <w:t xml:space="preserve">using microarray dataset</w:t>
      </w:r>
      <w:r>
        <w:t xml:space="preserve"> </w:t>
      </w:r>
      <w:r>
        <w:t xml:space="preserve">(18,30)</w:t>
      </w:r>
      <w:r>
        <w:t xml:space="preserve">,</w:t>
      </w:r>
      <w:r>
        <w:t xml:space="preserve"> </w:t>
      </w:r>
      <w:r>
        <w:t xml:space="preserve">and we show that it is projected closer to METABRIC as expected</w:t>
      </w:r>
      <w:r>
        <w:t xml:space="preserve"> </w:t>
      </w:r>
      <w:r>
        <w:t xml:space="preserve">according to the first two components.</w:t>
      </w:r>
      <w:r>
        <w:t xml:space="preserve"> </w:t>
      </w:r>
      <w:r>
        <w:t xml:space="preserve">We also show that the embedding is independent</w:t>
      </w:r>
      <w:r>
        <w:t xml:space="preserve"> </w:t>
      </w:r>
      <w:r>
        <w:t xml:space="preserve">of the training set and that when changing the training set the embedding</w:t>
      </w:r>
      <w:r>
        <w:t xml:space="preserve"> </w:t>
      </w:r>
      <w:r>
        <w:t xml:space="preserve">is only rotated or translated, thus not affecting the global</w:t>
      </w:r>
      <w:r>
        <w:t xml:space="preserve"> </w:t>
      </w:r>
      <w:r>
        <w:t xml:space="preserve">structure of the projection.</w:t>
      </w:r>
    </w:p>
    <w:p>
      <w:pPr>
        <w:pStyle w:val="BodyText"/>
      </w:pPr>
      <w:r>
        <w:t xml:space="preserve">Sometimes when dealing with publicly available datasets, not all of the</w:t>
      </w:r>
      <w:r>
        <w:t xml:space="preserve"> </w:t>
      </w:r>
      <w:r>
        <w:t xml:space="preserve">genes are available due to ethical</w:t>
      </w:r>
      <w:r>
        <w:t xml:space="preserve"> </w:t>
      </w:r>
      <w:r>
        <w:t xml:space="preserve">(16)</w:t>
      </w:r>
      <w:r>
        <w:t xml:space="preserve">, pre-processing or</w:t>
      </w:r>
      <w:r>
        <w:t xml:space="preserve"> </w:t>
      </w:r>
      <w:r>
        <w:t xml:space="preserve">technological reasons. Therefore we showed how robust the projection is to</w:t>
      </w:r>
      <w:r>
        <w:t xml:space="preserve"> </w:t>
      </w:r>
      <w:r>
        <w:t xml:space="preserve">missing genes with high loadings in the projection. If less than 20% of the</w:t>
      </w:r>
      <w:r>
        <w:t xml:space="preserve"> </w:t>
      </w:r>
      <w:r>
        <w:t xml:space="preserve">genes we can recover almost surely the position of the embedding if all the</w:t>
      </w:r>
      <w:r>
        <w:t xml:space="preserve"> </w:t>
      </w:r>
      <w:r>
        <w:t xml:space="preserve">genes are available. The more genes that are missing, the closer the</w:t>
      </w:r>
      <w:r>
        <w:t xml:space="preserve"> </w:t>
      </w:r>
      <w:r>
        <w:t xml:space="preserve">projection will be to the origin, i.e., the (0,0) coordinate in the plane.</w:t>
      </w:r>
    </w:p>
    <w:p>
      <w:pPr>
        <w:pStyle w:val="BodyText"/>
      </w:pPr>
      <w:r>
        <w:t xml:space="preserve">To show the clinical validity of the projection, we used a subset</w:t>
      </w:r>
      <w:r>
        <w:t xml:space="preserve"> </w:t>
      </w:r>
      <w:r>
        <w:t xml:space="preserve">of patients from the POETIC trial with microarray and clinical information</w:t>
      </w:r>
      <w:r>
        <w:t xml:space="preserve"> </w:t>
      </w:r>
      <w:r>
        <w:t xml:space="preserve">(18)</w:t>
      </w:r>
      <w:r>
        <w:t xml:space="preserve">. The samples are projected as expected and surprisingly the</w:t>
      </w:r>
      <w:r>
        <w:t xml:space="preserve"> </w:t>
      </w:r>
      <w:r>
        <w:t xml:space="preserve">samples that are considered to be non responders upon 2 weeks of</w:t>
      </w:r>
      <w:r>
        <w:t xml:space="preserve"> </w:t>
      </w:r>
      <w:r>
        <w:t xml:space="preserve">aromatase inhibition are projected among the ER- BC patients. When</w:t>
      </w:r>
      <w:r>
        <w:t xml:space="preserve"> </w:t>
      </w:r>
      <w:r>
        <w:t xml:space="preserve">looking further upon two different patients that have similar embedding</w:t>
      </w:r>
      <w:r>
        <w:t xml:space="preserve"> </w:t>
      </w:r>
      <w:r>
        <w:t xml:space="preserve">but different response to endocrine therapy, we see that the responder</w:t>
      </w:r>
      <w:r>
        <w:t xml:space="preserve"> </w:t>
      </w:r>
      <w:r>
        <w:t xml:space="preserve">has a higher value of estrogen signaling than the average. On the other hand,</w:t>
      </w:r>
      <w:r>
        <w:t xml:space="preserve"> </w:t>
      </w:r>
      <w:r>
        <w:t xml:space="preserve">the non responder patient has a smaller estrogen signaling score than</w:t>
      </w:r>
      <w:r>
        <w:t xml:space="preserve"> </w:t>
      </w:r>
      <w:r>
        <w:t xml:space="preserve">the average, which suggests a possible explanation for the difference in</w:t>
      </w:r>
      <w:r>
        <w:t xml:space="preserve"> </w:t>
      </w:r>
      <w:r>
        <w:t xml:space="preserve">response. Moreover, estrogen and androgen receptor signaling have been show</w:t>
      </w:r>
      <w:r>
        <w:t xml:space="preserve"> </w:t>
      </w:r>
      <w:r>
        <w:t xml:space="preserve">to be tightly linked</w:t>
      </w:r>
      <w:r>
        <w:t xml:space="preserve"> </w:t>
      </w:r>
      <w:r>
        <w:t xml:space="preserve">(32)</w:t>
      </w:r>
      <w:r>
        <w:t xml:space="preserve"> </w:t>
      </w:r>
      <w:r>
        <w:t xml:space="preserve">and these two patients have different</w:t>
      </w:r>
      <w:r>
        <w:t xml:space="preserve"> </w:t>
      </w:r>
      <w:r>
        <w:t xml:space="preserve">androgen signaling scores. The non responder has a higher score than</w:t>
      </w:r>
      <w:r>
        <w:t xml:space="preserve"> </w:t>
      </w:r>
      <w:r>
        <w:t xml:space="preserve">the average compared to the responder, whose score is just the same as the</w:t>
      </w:r>
      <w:r>
        <w:t xml:space="preserve"> </w:t>
      </w:r>
      <w:r>
        <w:t xml:space="preserve">average.</w:t>
      </w:r>
    </w:p>
    <w:p>
      <w:pPr>
        <w:pStyle w:val="BodyText"/>
      </w:pPr>
      <w:r>
        <w:t xml:space="preserve">Some weaknesses of the proposed method is that we rely on GSVA scores,</w:t>
      </w:r>
      <w:r>
        <w:t xml:space="preserve"> </w:t>
      </w:r>
      <w:r>
        <w:t xml:space="preserve">which can be used and compared across different cohorts since they have</w:t>
      </w:r>
      <w:r>
        <w:t xml:space="preserve"> </w:t>
      </w:r>
      <w:r>
        <w:t xml:space="preserve">a representation of all molecular subtypes. A possible way to circumvent</w:t>
      </w:r>
      <w:r>
        <w:t xml:space="preserve"> </w:t>
      </w:r>
      <w:r>
        <w:t xml:space="preserve">this problem is by using singscore or stingscore</w:t>
      </w:r>
      <w:r>
        <w:t xml:space="preserve"> </w:t>
      </w:r>
      <w:r>
        <w:t xml:space="preserve">(22,33)</w:t>
      </w:r>
      <w:r>
        <w:t xml:space="preserve">,</w:t>
      </w:r>
      <w:r>
        <w:t xml:space="preserve"> </w:t>
      </w:r>
      <w:r>
        <w:t xml:space="preserve">a single sample pathway scorer. There is still a cost barrier for using</w:t>
      </w:r>
      <w:r>
        <w:t xml:space="preserve"> </w:t>
      </w:r>
      <w:r>
        <w:t xml:space="preserve">RNA-seq dataset in the clinical setting, but efforts are being made to</w:t>
      </w:r>
      <w:r>
        <w:t xml:space="preserve"> </w:t>
      </w:r>
      <w:r>
        <w:t xml:space="preserve">reduce costs by using shallow sequencing of multiple samples at the</w:t>
      </w:r>
      <w:r>
        <w:t xml:space="preserve"> </w:t>
      </w:r>
      <w:r>
        <w:t xml:space="preserve">same time, such as done by Alithea Genomics.</w:t>
      </w:r>
    </w:p>
    <w:p>
      <w:pPr>
        <w:pStyle w:val="BodyText"/>
      </w:pPr>
      <w:r>
        <w:t xml:space="preserve">In conclusion we provide some evidence that ER status should be considered</w:t>
      </w:r>
      <w:r>
        <w:t xml:space="preserve"> </w:t>
      </w:r>
      <w:r>
        <w:t xml:space="preserve">a continuous marker rather than a categorical one. We also extend this notion</w:t>
      </w:r>
      <w:r>
        <w:t xml:space="preserve"> </w:t>
      </w:r>
      <w:r>
        <w:t xml:space="preserve">to a framework for personalized medicine, where each patient is embedded in</w:t>
      </w:r>
      <w:r>
        <w:t xml:space="preserve"> </w:t>
      </w:r>
      <w:r>
        <w:t xml:space="preserve">some context that can be used for the interpretation of its molecular</w:t>
      </w:r>
      <w:r>
        <w:t xml:space="preserve"> </w:t>
      </w:r>
      <w:r>
        <w:t xml:space="preserve">underpinnings. In this paper we only discussed some pathways, but when</w:t>
      </w:r>
      <w:r>
        <w:t xml:space="preserve"> </w:t>
      </w:r>
      <w:r>
        <w:t xml:space="preserve">analysing patient data, several pathways can be considered and should be</w:t>
      </w:r>
      <w:r>
        <w:t xml:space="preserve"> </w:t>
      </w:r>
      <w:r>
        <w:t xml:space="preserve">taken into account when deciding tumor treatment.</w:t>
      </w:r>
    </w:p>
    <w:bookmarkEnd w:id="53"/>
    <w:bookmarkStart w:id="119" w:name="references"/>
    <w:p>
      <w:pPr>
        <w:pStyle w:val="Heading1"/>
      </w:pPr>
      <w:r>
        <w:t xml:space="preserve">References</w:t>
      </w:r>
    </w:p>
    <w:bookmarkStart w:id="118" w:name="refs"/>
    <w:bookmarkStart w:id="54" w:name="ref-whocancer"/>
    <w:p>
      <w:pPr>
        <w:pStyle w:val="Bibliography"/>
      </w:pPr>
      <w:r>
        <w:t xml:space="preserve">1.</w:t>
      </w:r>
      <w:r>
        <w:t xml:space="preserve"> </w:t>
      </w:r>
      <w:r>
        <w:t xml:space="preserve">	</w:t>
      </w:r>
      <w:r>
        <w:t xml:space="preserve">World Health Organization: Regional Office for Europe. World cancer report. IARC; 2020.</w:t>
      </w:r>
      <w:r>
        <w:t xml:space="preserve"> </w:t>
      </w:r>
    </w:p>
    <w:bookmarkEnd w:id="54"/>
    <w:bookmarkStart w:id="56" w:name="ref-Anderson2002"/>
    <w:p>
      <w:pPr>
        <w:pStyle w:val="Bibliography"/>
      </w:pPr>
      <w:r>
        <w:t xml:space="preserve">2.</w:t>
      </w:r>
      <w:r>
        <w:t xml:space="preserve"> </w:t>
      </w:r>
      <w:r>
        <w:t xml:space="preserve">	</w:t>
      </w:r>
      <w:r>
        <w:t xml:space="preserve">Anderson WF, Chatterjee N, Ershler WB, Brawley OW. Estrogen receptor breast cancer phenotypes in the surveillance, epidemiology, and end results database. Breast Cancer Research and Treatment [Internet]. Springer Science; Business Media</w:t>
      </w:r>
      <w:r>
        <w:t xml:space="preserve"> </w:t>
      </w:r>
      <w:r>
        <w:t xml:space="preserve">LLC</w:t>
      </w:r>
      <w:r>
        <w:t xml:space="preserve">; 2002;76:27–36. Available from:</w:t>
      </w:r>
      <w:r>
        <w:t xml:space="preserve"> </w:t>
      </w:r>
      <w:hyperlink r:id="rId55">
        <w:r>
          <w:rPr>
            <w:rStyle w:val="Hyperlink"/>
          </w:rPr>
          <w:t xml:space="preserve">https://doi.org/10.1023/a:1020299707510</w:t>
        </w:r>
      </w:hyperlink>
    </w:p>
    <w:bookmarkEnd w:id="56"/>
    <w:bookmarkStart w:id="58" w:name="ref-Allison2020"/>
    <w:p>
      <w:pPr>
        <w:pStyle w:val="Bibliography"/>
      </w:pPr>
      <w:r>
        <w:t xml:space="preserve">3.</w:t>
      </w:r>
      <w:r>
        <w:t xml:space="preserve"> </w:t>
      </w:r>
      <w:r>
        <w:t xml:space="preserve">	</w:t>
      </w:r>
      <w:r>
        <w:t xml:space="preserve">Allison KH, Hammond MEH, Dowsett M, McKernin SE, Carey LA, Fitzgibbons PL, et al. Estrogen and progesterone receptor testing in breast cancer:</w:t>
      </w:r>
      <w:r>
        <w:t xml:space="preserve"> </w:t>
      </w:r>
      <w:r>
        <w:t xml:space="preserve">ASCO</w:t>
      </w:r>
      <w:r>
        <w:t xml:space="preserve">/</w:t>
      </w:r>
      <w:r>
        <w:t xml:space="preserve">CAP</w:t>
      </w:r>
      <w:r>
        <w:t xml:space="preserve"> </w:t>
      </w:r>
      <w:r>
        <w:t xml:space="preserve">guideline update. Journal of Clinical Oncology [Internet]. American Society of Clinical Oncology (</w:t>
      </w:r>
      <w:r>
        <w:t xml:space="preserve">ASCO</w:t>
      </w:r>
      <w:r>
        <w:t xml:space="preserve">); 2020;38:1346–66. Available from:</w:t>
      </w:r>
      <w:r>
        <w:t xml:space="preserve"> </w:t>
      </w:r>
      <w:hyperlink r:id="rId57">
        <w:r>
          <w:rPr>
            <w:rStyle w:val="Hyperlink"/>
          </w:rPr>
          <w:t xml:space="preserve">https://doi.org/10.1200/jco.19.02309</w:t>
        </w:r>
      </w:hyperlink>
    </w:p>
    <w:bookmarkEnd w:id="58"/>
    <w:bookmarkStart w:id="60" w:name="ref-Dieci2021"/>
    <w:p>
      <w:pPr>
        <w:pStyle w:val="Bibliography"/>
      </w:pPr>
      <w:r>
        <w:t xml:space="preserve">4.</w:t>
      </w:r>
      <w:r>
        <w:t xml:space="preserve"> </w:t>
      </w:r>
      <w:r>
        <w:t xml:space="preserve">	</w:t>
      </w:r>
      <w:r>
        <w:t xml:space="preserve">Dieci MV, Griguolo G, Bottosso M, Tsvetkova V, Giorgi CA, Vernaci G, et al. Impact of estrogen receptor levels on outcome in non-metastatic triple negative breast cancer patients treated with neoadjuvant/adjuvant chemotherapy. npj Breast Cancer [Internet]. Springer Science; Business Media</w:t>
      </w:r>
      <w:r>
        <w:t xml:space="preserve"> </w:t>
      </w:r>
      <w:r>
        <w:t xml:space="preserve">LLC</w:t>
      </w:r>
      <w:r>
        <w:t xml:space="preserve">; 2021;7. Available from:</w:t>
      </w:r>
      <w:r>
        <w:t xml:space="preserve"> </w:t>
      </w:r>
      <w:hyperlink r:id="rId59">
        <w:r>
          <w:rPr>
            <w:rStyle w:val="Hyperlink"/>
          </w:rPr>
          <w:t xml:space="preserve">https://doi.org/10.1038/s41523-021-00308-7</w:t>
        </w:r>
      </w:hyperlink>
    </w:p>
    <w:bookmarkEnd w:id="60"/>
    <w:bookmarkStart w:id="62" w:name="ref-mammaprint"/>
    <w:p>
      <w:pPr>
        <w:pStyle w:val="Bibliography"/>
      </w:pPr>
      <w:r>
        <w:t xml:space="preserve">5.</w:t>
      </w:r>
      <w:r>
        <w:t xml:space="preserve"> </w:t>
      </w:r>
      <w:r>
        <w:t xml:space="preserve">	</w:t>
      </w:r>
      <w:r>
        <w:t xml:space="preserve">Cardoso F, Veer LJ van’t, Bogaerts J, Slaets L, Viale G, Delaloge S, et al. 70-gene signature as an aid to treatment decisions in early-stage breast cancer. New England Journal of Medicine [Internet]. Massachusetts Medical Society; 2016;375:717–29. Available from:</w:t>
      </w:r>
      <w:r>
        <w:t xml:space="preserve"> </w:t>
      </w:r>
      <w:hyperlink r:id="rId61">
        <w:r>
          <w:rPr>
            <w:rStyle w:val="Hyperlink"/>
          </w:rPr>
          <w:t xml:space="preserve">https://doi.org/10.1056/nejmoa1602253</w:t>
        </w:r>
      </w:hyperlink>
    </w:p>
    <w:bookmarkEnd w:id="62"/>
    <w:bookmarkStart w:id="64" w:name="ref-pam50"/>
    <w:p>
      <w:pPr>
        <w:pStyle w:val="Bibliography"/>
      </w:pPr>
      <w:r>
        <w:t xml:space="preserve">6.</w:t>
      </w:r>
      <w:r>
        <w:t xml:space="preserve"> </w:t>
      </w:r>
      <w:r>
        <w:t xml:space="preserve">	</w:t>
      </w:r>
      <w:r>
        <w:t xml:space="preserve">Parker JS, Mullins M, Cheang MCU, Leung S, Voduc D, Vickery T, et al. Supervised risk predictor of breast cancer based on intrinsic subtypes. Journal of Clinical Oncology [Internet]. American Society of Clinical Oncology (</w:t>
      </w:r>
      <w:r>
        <w:t xml:space="preserve">ASCO</w:t>
      </w:r>
      <w:r>
        <w:t xml:space="preserve">); 2009;27:1160–7. Available from:</w:t>
      </w:r>
      <w:r>
        <w:t xml:space="preserve"> </w:t>
      </w:r>
      <w:hyperlink r:id="rId63">
        <w:r>
          <w:rPr>
            <w:rStyle w:val="Hyperlink"/>
          </w:rPr>
          <w:t xml:space="preserve">https://doi.org/10.1200/jco.2008.18.1370</w:t>
        </w:r>
      </w:hyperlink>
    </w:p>
    <w:bookmarkEnd w:id="64"/>
    <w:bookmarkStart w:id="66" w:name="ref-oncotypedx"/>
    <w:p>
      <w:pPr>
        <w:pStyle w:val="Bibliography"/>
      </w:pPr>
      <w:r>
        <w:t xml:space="preserve">7.</w:t>
      </w:r>
      <w:r>
        <w:t xml:space="preserve"> </w:t>
      </w:r>
      <w:r>
        <w:t xml:space="preserve">	</w:t>
      </w:r>
      <w:r>
        <w:t xml:space="preserve">Sparano JA, Gray RJ, Makower DF, Pritchard KI, Albain KS, Hayes DF, et al. Adjuvant chemotherapy guided by a 21-gene expression assay in breast cancer. New England Journal of Medicine [Internet]. Massachusetts Medical Society; 2018;379:111–21. Available from:</w:t>
      </w:r>
      <w:r>
        <w:t xml:space="preserve"> </w:t>
      </w:r>
      <w:hyperlink r:id="rId65">
        <w:r>
          <w:rPr>
            <w:rStyle w:val="Hyperlink"/>
          </w:rPr>
          <w:t xml:space="preserve">https://doi.org/10.1056/nejmoa1804710</w:t>
        </w:r>
      </w:hyperlink>
    </w:p>
    <w:bookmarkEnd w:id="66"/>
    <w:bookmarkStart w:id="68" w:name="ref-endopredict"/>
    <w:p>
      <w:pPr>
        <w:pStyle w:val="Bibliography"/>
      </w:pPr>
      <w:r>
        <w:t xml:space="preserve">8.</w:t>
      </w:r>
      <w:r>
        <w:t xml:space="preserve"> </w:t>
      </w:r>
      <w:r>
        <w:t xml:space="preserve">	</w:t>
      </w:r>
      <w:r>
        <w:t xml:space="preserve">Filipits M, Rudas M, Jakesz R, Dubsky P, Fitzal F, Singer CF, et al. A new molecular predictor of distant recurrence in</w:t>
      </w:r>
      <w:r>
        <w:t xml:space="preserve"> </w:t>
      </w:r>
      <w:r>
        <w:t xml:space="preserve">ER</w:t>
      </w:r>
      <w:r>
        <w:t xml:space="preserve">-positive,</w:t>
      </w:r>
      <w:r>
        <w:t xml:space="preserve"> </w:t>
      </w:r>
      <w:r>
        <w:t xml:space="preserve">HER</w:t>
      </w:r>
      <w:r>
        <w:t xml:space="preserve">2-negative breast cancer adds independent information to conventional clinical risk factors. Clinical Cancer Research [Internet]. American Association for Cancer Research (</w:t>
      </w:r>
      <w:r>
        <w:t xml:space="preserve">AACR</w:t>
      </w:r>
      <w:r>
        <w:t xml:space="preserve">); 2011;17:6012–20. Available from:</w:t>
      </w:r>
      <w:r>
        <w:t xml:space="preserve"> </w:t>
      </w:r>
      <w:hyperlink r:id="rId67">
        <w:r>
          <w:rPr>
            <w:rStyle w:val="Hyperlink"/>
          </w:rPr>
          <w:t xml:space="preserve">https://doi.org/10.1158/1078-0432.ccr-11-0926</w:t>
        </w:r>
      </w:hyperlink>
    </w:p>
    <w:bookmarkEnd w:id="68"/>
    <w:bookmarkStart w:id="70" w:name="ref-bci"/>
    <w:p>
      <w:pPr>
        <w:pStyle w:val="Bibliography"/>
      </w:pPr>
      <w:r>
        <w:t xml:space="preserve">9.</w:t>
      </w:r>
      <w:r>
        <w:t xml:space="preserve"> </w:t>
      </w:r>
      <w:r>
        <w:t xml:space="preserve">	</w:t>
      </w:r>
      <w:r>
        <w:t xml:space="preserve">Jankowitz RC, Cooper K, Erlander MG, Ma X-J, Kesty NC, Li H, et al. Prognostic utility of the breast cancer index and comparison to adjuvant! Online in a clinical case series of early breast cancer. Breast Cancer Research [Internet]. Springer Science; Business Media</w:t>
      </w:r>
      <w:r>
        <w:t xml:space="preserve"> </w:t>
      </w:r>
      <w:r>
        <w:t xml:space="preserve">LLC</w:t>
      </w:r>
      <w:r>
        <w:t xml:space="preserve">; 2011;13. Available from:</w:t>
      </w:r>
      <w:r>
        <w:t xml:space="preserve"> </w:t>
      </w:r>
      <w:hyperlink r:id="rId69">
        <w:r>
          <w:rPr>
            <w:rStyle w:val="Hyperlink"/>
          </w:rPr>
          <w:t xml:space="preserve">https://doi.org/10.1186/bcr3038</w:t>
        </w:r>
      </w:hyperlink>
    </w:p>
    <w:bookmarkEnd w:id="70"/>
    <w:bookmarkStart w:id="72" w:name="ref-Andre2022"/>
    <w:p>
      <w:pPr>
        <w:pStyle w:val="Bibliography"/>
      </w:pPr>
      <w:r>
        <w:t xml:space="preserve">10.</w:t>
      </w:r>
      <w:r>
        <w:t xml:space="preserve"> </w:t>
      </w:r>
      <w:r>
        <w:t xml:space="preserve">	</w:t>
      </w:r>
      <w:r>
        <w:t xml:space="preserve">Andre F, Ismaila N, Allison KH, Barlow WE, Collyar DE, Damodaran S, et al. Biomarkers for adjuvant endocrine and chemotherapy in early-stage breast cancer:</w:t>
      </w:r>
      <w:r>
        <w:t xml:space="preserve"> </w:t>
      </w:r>
      <w:r>
        <w:t xml:space="preserve">ASCO</w:t>
      </w:r>
      <w:r>
        <w:t xml:space="preserve"> </w:t>
      </w:r>
      <w:r>
        <w:t xml:space="preserve">guideline update. Journal of Clinical Oncology [Internet]. American Society of Clinical Oncology (</w:t>
      </w:r>
      <w:r>
        <w:t xml:space="preserve">ASCO</w:t>
      </w:r>
      <w:r>
        <w:t xml:space="preserve">); 2022;40:1816–37. Available from:</w:t>
      </w:r>
      <w:r>
        <w:t xml:space="preserve"> </w:t>
      </w:r>
      <w:hyperlink r:id="rId71">
        <w:r>
          <w:rPr>
            <w:rStyle w:val="Hyperlink"/>
          </w:rPr>
          <w:t xml:space="preserve">https://doi.org/10.1200/jco.22.00069</w:t>
        </w:r>
      </w:hyperlink>
    </w:p>
    <w:bookmarkEnd w:id="72"/>
    <w:bookmarkStart w:id="74" w:name="ref-Buus2021"/>
    <w:p>
      <w:pPr>
        <w:pStyle w:val="Bibliography"/>
      </w:pPr>
      <w:r>
        <w:t xml:space="preserve">11.</w:t>
      </w:r>
      <w:r>
        <w:t xml:space="preserve"> </w:t>
      </w:r>
      <w:r>
        <w:t xml:space="preserve">	</w:t>
      </w:r>
      <w:r>
        <w:t xml:space="preserve">Buus R, Sestak I, Kronenwett R, Ferree S, Schnabel CA, Baehner FL, et al. Molecular drivers of onco</w:t>
      </w:r>
      <m:oMath>
        <m:r>
          <m:rPr>
            <m:sty m:val="p"/>
          </m:rPr>
          <m:t>&lt;</m:t>
        </m:r>
      </m:oMath>
      <w:r>
        <w:t xml:space="preserve">i</w:t>
      </w:r>
      <m:oMath>
        <m:r>
          <m:rPr>
            <m:sty m:val="p"/>
          </m:rPr>
          <m:t>&gt;</m:t>
        </m:r>
      </m:oMath>
      <w:r>
        <w:t xml:space="preserve">type</w:t>
      </w:r>
      <m:oMath>
        <m:r>
          <m:rPr>
            <m:sty m:val="p"/>
          </m:rPr>
          <m:t>&lt;</m:t>
        </m:r>
      </m:oMath>
      <w:r>
        <w:t xml:space="preserve">/i</w:t>
      </w:r>
      <m:oMath>
        <m:r>
          <m:rPr>
            <m:sty m:val="p"/>
          </m:rPr>
          <m:t>&gt;</m:t>
        </m:r>
      </m:oMath>
      <w:r>
        <w:t xml:space="preserve"> </w:t>
      </w:r>
      <w:r>
        <w:t xml:space="preserve">DX</w:t>
      </w:r>
      <w:r>
        <w:t xml:space="preserve">, prosigna,</w:t>
      </w:r>
      <w:r>
        <w:t xml:space="preserve"> </w:t>
      </w:r>
      <w:r>
        <w:t xml:space="preserve">EndoPredict</w:t>
      </w:r>
      <w:r>
        <w:t xml:space="preserve">, and the breast cancer index: A</w:t>
      </w:r>
      <w:r>
        <w:t xml:space="preserve"> </w:t>
      </w:r>
      <w:r>
        <w:t xml:space="preserve">TransATAC</w:t>
      </w:r>
      <w:r>
        <w:t xml:space="preserve"> </w:t>
      </w:r>
      <w:r>
        <w:t xml:space="preserve">study. Journal of Clinical Oncology [Internet]. American Society of Clinical Oncology (</w:t>
      </w:r>
      <w:r>
        <w:t xml:space="preserve">ASCO</w:t>
      </w:r>
      <w:r>
        <w:t xml:space="preserve">); 2021;39:126–35. Available from:</w:t>
      </w:r>
      <w:r>
        <w:t xml:space="preserve"> </w:t>
      </w:r>
      <w:hyperlink r:id="rId73">
        <w:r>
          <w:rPr>
            <w:rStyle w:val="Hyperlink"/>
          </w:rPr>
          <w:t xml:space="preserve">https://doi.org/10.1200/jco.20.00853</w:t>
        </w:r>
      </w:hyperlink>
    </w:p>
    <w:bookmarkEnd w:id="74"/>
    <w:bookmarkStart w:id="76" w:name="ref-Risso2014"/>
    <w:p>
      <w:pPr>
        <w:pStyle w:val="Bibliography"/>
      </w:pPr>
      <w:r>
        <w:t xml:space="preserve">12.</w:t>
      </w:r>
      <w:r>
        <w:t xml:space="preserve"> </w:t>
      </w:r>
      <w:r>
        <w:t xml:space="preserve">	</w:t>
      </w:r>
      <w:r>
        <w:t xml:space="preserve">Risso D, Ngai J, Speed TP, Dudoit S. Normalization of</w:t>
      </w:r>
      <w:r>
        <w:t xml:space="preserve"> </w:t>
      </w:r>
      <w:r>
        <w:t xml:space="preserve">RNA</w:t>
      </w:r>
      <w:r>
        <w:t xml:space="preserve">-seq data using factor analysis of control genes or samples. Nature Biotechnology [Internet]. Springer Science; Business Media</w:t>
      </w:r>
      <w:r>
        <w:t xml:space="preserve"> </w:t>
      </w:r>
      <w:r>
        <w:t xml:space="preserve">LLC</w:t>
      </w:r>
      <w:r>
        <w:t xml:space="preserve">; 2014;32:896–902. Available from:</w:t>
      </w:r>
      <w:r>
        <w:t xml:space="preserve"> </w:t>
      </w:r>
      <w:hyperlink r:id="rId75">
        <w:r>
          <w:rPr>
            <w:rStyle w:val="Hyperlink"/>
          </w:rPr>
          <w:t xml:space="preserve">https://doi.org/10.1038/nbt.2931</w:t>
        </w:r>
      </w:hyperlink>
    </w:p>
    <w:bookmarkEnd w:id="76"/>
    <w:bookmarkStart w:id="78" w:name="ref-Zhang2020"/>
    <w:p>
      <w:pPr>
        <w:pStyle w:val="Bibliography"/>
      </w:pPr>
      <w:r>
        <w:t xml:space="preserve">13.</w:t>
      </w:r>
      <w:r>
        <w:t xml:space="preserve"> </w:t>
      </w:r>
      <w:r>
        <w:t xml:space="preserve">	</w:t>
      </w:r>
      <w:r>
        <w:t xml:space="preserve">Zhang Y, Parmigiani G, Johnson WE.</w:t>
      </w:r>
      <w:r>
        <w:t xml:space="preserve"> </w:t>
      </w:r>
      <w:r>
        <w:t xml:space="preserve">ComBat</w:t>
      </w:r>
      <w:r>
        <w:t xml:space="preserve">-seq: Batch effect adjustment for</w:t>
      </w:r>
      <w:r>
        <w:t xml:space="preserve"> </w:t>
      </w:r>
      <w:r>
        <w:t xml:space="preserve">RNA</w:t>
      </w:r>
      <w:r>
        <w:t xml:space="preserve">-seq count data.</w:t>
      </w:r>
      <w:r>
        <w:t xml:space="preserve"> </w:t>
      </w:r>
      <w:r>
        <w:t xml:space="preserve">NAR</w:t>
      </w:r>
      <w:r>
        <w:t xml:space="preserve"> </w:t>
      </w:r>
      <w:r>
        <w:t xml:space="preserve">Genomics and Bioinformatics [Internet]. Oxford University Press (</w:t>
      </w:r>
      <w:r>
        <w:t xml:space="preserve">OUP</w:t>
      </w:r>
      <w:r>
        <w:t xml:space="preserve">); 2020;2. Available from:</w:t>
      </w:r>
      <w:r>
        <w:t xml:space="preserve"> </w:t>
      </w:r>
      <w:hyperlink r:id="rId77">
        <w:r>
          <w:rPr>
            <w:rStyle w:val="Hyperlink"/>
          </w:rPr>
          <w:t xml:space="preserve">https://doi.org/10.1093/nargab/lqaa078</w:t>
        </w:r>
      </w:hyperlink>
    </w:p>
    <w:bookmarkEnd w:id="78"/>
    <w:bookmarkStart w:id="80" w:name="ref-Fei2018"/>
    <w:p>
      <w:pPr>
        <w:pStyle w:val="Bibliography"/>
      </w:pPr>
      <w:r>
        <w:t xml:space="preserve">14.</w:t>
      </w:r>
      <w:r>
        <w:t xml:space="preserve"> </w:t>
      </w:r>
      <w:r>
        <w:t xml:space="preserve">	</w:t>
      </w:r>
      <w:r>
        <w:t xml:space="preserve">Fei T, Zhang T, Shi W, Yu T. Mitigating the adverse impact of batch effects in sample pattern detection. Birol I, editor. Bioinformatics [Internet]. Oxford University Press (</w:t>
      </w:r>
      <w:r>
        <w:t xml:space="preserve">OUP</w:t>
      </w:r>
      <w:r>
        <w:t xml:space="preserve">); 2018;34:2634–41. Available from:</w:t>
      </w:r>
      <w:r>
        <w:t xml:space="preserve"> </w:t>
      </w:r>
      <w:hyperlink r:id="rId79">
        <w:r>
          <w:rPr>
            <w:rStyle w:val="Hyperlink"/>
          </w:rPr>
          <w:t xml:space="preserve">https://doi.org/10.1093/bioinformatics/bty117</w:t>
        </w:r>
      </w:hyperlink>
    </w:p>
    <w:bookmarkEnd w:id="80"/>
    <w:bookmarkStart w:id="82" w:name="ref-tcgabrca"/>
    <w:p>
      <w:pPr>
        <w:pStyle w:val="Bibliography"/>
      </w:pPr>
      <w:r>
        <w:t xml:space="preserve">15.</w:t>
      </w:r>
      <w:r>
        <w:t xml:space="preserve"> </w:t>
      </w:r>
      <w:r>
        <w:t xml:space="preserve">	</w:t>
      </w:r>
      <w:r>
        <w:t xml:space="preserve">Comprehensive molecular portraits of human breast tumours. Nature [Internet]. Springer Science; Business Media</w:t>
      </w:r>
      <w:r>
        <w:t xml:space="preserve"> </w:t>
      </w:r>
      <w:r>
        <w:t xml:space="preserve">LLC</w:t>
      </w:r>
      <w:r>
        <w:t xml:space="preserve">; 2012;490:61–70. Available from:</w:t>
      </w:r>
      <w:r>
        <w:t xml:space="preserve"> </w:t>
      </w:r>
      <w:hyperlink r:id="rId81">
        <w:r>
          <w:rPr>
            <w:rStyle w:val="Hyperlink"/>
          </w:rPr>
          <w:t xml:space="preserve">https://doi.org/10.1038/nature11412</w:t>
        </w:r>
      </w:hyperlink>
    </w:p>
    <w:bookmarkEnd w:id="82"/>
    <w:bookmarkStart w:id="84" w:name="ref-Saal2015"/>
    <w:p>
      <w:pPr>
        <w:pStyle w:val="Bibliography"/>
      </w:pPr>
      <w:r>
        <w:t xml:space="preserve">16.</w:t>
      </w:r>
      <w:r>
        <w:t xml:space="preserve"> </w:t>
      </w:r>
      <w:r>
        <w:t xml:space="preserve">	</w:t>
      </w:r>
      <w:r>
        <w:t xml:space="preserve">Saal LH, Vallon-Christersson J, Häkkinen J, Hegardt C, Grabau D, Winter C, et al. The sweden cancerome analysis network - breast (</w:t>
      </w:r>
      <w:r>
        <w:t xml:space="preserve">SCAN</w:t>
      </w:r>
      <w:r>
        <w:t xml:space="preserve">-b) initiative: A large-scale multicenter infrastructure towards implementation of breast cancer genomic analyses in the clinical routine. Genome Medicine [Internet]. Springer Science; Business Media</w:t>
      </w:r>
      <w:r>
        <w:t xml:space="preserve"> </w:t>
      </w:r>
      <w:r>
        <w:t xml:space="preserve">LLC</w:t>
      </w:r>
      <w:r>
        <w:t xml:space="preserve">; 2015;7:20. Available from:</w:t>
      </w:r>
      <w:r>
        <w:t xml:space="preserve"> </w:t>
      </w:r>
      <w:hyperlink r:id="rId83">
        <w:r>
          <w:rPr>
            <w:rStyle w:val="Hyperlink"/>
          </w:rPr>
          <w:t xml:space="preserve">https://doi.org/10.1186/s13073-015-0131-9</w:t>
        </w:r>
      </w:hyperlink>
    </w:p>
    <w:bookmarkEnd w:id="84"/>
    <w:bookmarkStart w:id="86" w:name="ref-Curtis2012"/>
    <w:p>
      <w:pPr>
        <w:pStyle w:val="Bibliography"/>
      </w:pPr>
      <w:r>
        <w:t xml:space="preserve">17.</w:t>
      </w:r>
      <w:r>
        <w:t xml:space="preserve"> </w:t>
      </w:r>
      <w:r>
        <w:t xml:space="preserve">	</w:t>
      </w:r>
      <w:r>
        <w:t xml:space="preserve">Curtis C, Sohrab P. Shah and, Chin S-F, Turashvili G, Rueda OM, Dunning MJ, et al. The genomic and transcriptomic architecture of 2, 000 breast tumours reveals novel subgroups. Nature [Internet]. Springer Science; Business Media</w:t>
      </w:r>
      <w:r>
        <w:t xml:space="preserve"> </w:t>
      </w:r>
      <w:r>
        <w:t xml:space="preserve">LLC</w:t>
      </w:r>
      <w:r>
        <w:t xml:space="preserve">; 2012;486:346–52. Available from:</w:t>
      </w:r>
      <w:r>
        <w:t xml:space="preserve"> </w:t>
      </w:r>
      <w:hyperlink r:id="rId85">
        <w:r>
          <w:rPr>
            <w:rStyle w:val="Hyperlink"/>
          </w:rPr>
          <w:t xml:space="preserve">https://doi.org/10.1038/nature10983</w:t>
        </w:r>
      </w:hyperlink>
    </w:p>
    <w:bookmarkEnd w:id="86"/>
    <w:bookmarkStart w:id="88" w:name="ref-Gao2019"/>
    <w:p>
      <w:pPr>
        <w:pStyle w:val="Bibliography"/>
      </w:pPr>
      <w:r>
        <w:t xml:space="preserve">18.</w:t>
      </w:r>
      <w:r>
        <w:t xml:space="preserve"> </w:t>
      </w:r>
      <w:r>
        <w:t xml:space="preserve">	</w:t>
      </w:r>
      <w:r>
        <w:t xml:space="preserve">Gao Q, Elena López-Knowles and, Cheang MCU, Morden J, Ribas R, Sidhu K, et al. Impact of aromatase inhibitor treatment on global gene expression and its association with antiproliferative response in</w:t>
      </w:r>
      <w:r>
        <w:t xml:space="preserve"> </w:t>
      </w:r>
      <w:r>
        <w:t xml:space="preserve">ER</w:t>
      </w:r>
      <w:r>
        <w:t xml:space="preserve">$\mathplus$</w:t>
      </w:r>
      <w:r>
        <w:t xml:space="preserve"> </w:t>
      </w:r>
      <w:r>
        <w:t xml:space="preserve">breast cancer in postmenopausal patients. Breast Cancer Research [Internet]. Springer Science; Business Media</w:t>
      </w:r>
      <w:r>
        <w:t xml:space="preserve"> </w:t>
      </w:r>
      <w:r>
        <w:t xml:space="preserve">LLC</w:t>
      </w:r>
      <w:r>
        <w:t xml:space="preserve">; 2019;22. Available from:</w:t>
      </w:r>
      <w:r>
        <w:t xml:space="preserve"> </w:t>
      </w:r>
      <w:hyperlink r:id="rId87">
        <w:r>
          <w:rPr>
            <w:rStyle w:val="Hyperlink"/>
          </w:rPr>
          <w:t xml:space="preserve">https://doi.org/10.1186/s13058-019-1223-z</w:t>
        </w:r>
      </w:hyperlink>
    </w:p>
    <w:bookmarkEnd w:id="88"/>
    <w:bookmarkStart w:id="90" w:name="ref-Subramanian2005"/>
    <w:p>
      <w:pPr>
        <w:pStyle w:val="Bibliography"/>
      </w:pPr>
      <w:r>
        <w:t xml:space="preserve">19.</w:t>
      </w:r>
      <w:r>
        <w:t xml:space="preserve"> </w:t>
      </w:r>
      <w:r>
        <w:t xml:space="preserve">	</w:t>
      </w:r>
      <w:r>
        <w:t xml:space="preserve">Subramanian A, Tamayo P, Mootha VK, Mukherjee S, Ebert BL, Gillette MA, et al. Gene set enrichment analysis: A knowledge-based approach for interpreting genome-wide expression profiles. Proceedings of the National Academy of Sciences [Internet]. Proceedings of the National Academy of Sciences; 2005;102:15545–50. Available from:</w:t>
      </w:r>
      <w:r>
        <w:t xml:space="preserve"> </w:t>
      </w:r>
      <w:hyperlink r:id="rId89">
        <w:r>
          <w:rPr>
            <w:rStyle w:val="Hyperlink"/>
          </w:rPr>
          <w:t xml:space="preserve">https://doi.org/10.1073/pnas.0506580102</w:t>
        </w:r>
      </w:hyperlink>
    </w:p>
    <w:bookmarkEnd w:id="90"/>
    <w:bookmarkStart w:id="92" w:name="ref-Liberzon2011"/>
    <w:p>
      <w:pPr>
        <w:pStyle w:val="Bibliography"/>
      </w:pPr>
      <w:r>
        <w:t xml:space="preserve">20.</w:t>
      </w:r>
      <w:r>
        <w:t xml:space="preserve"> </w:t>
      </w:r>
      <w:r>
        <w:t xml:space="preserve">	</w:t>
      </w:r>
      <w:r>
        <w:t xml:space="preserve">Liberzon A, Subramanian A, Pinchback R, Thorvaldsdottir H, Tamayo P, Mesirov JP. Molecular signatures database (</w:t>
      </w:r>
      <w:r>
        <w:t xml:space="preserve">MSigDB</w:t>
      </w:r>
      <w:r>
        <w:t xml:space="preserve">) 3.0. Bioinformatics [Internet]. Oxford University Press (</w:t>
      </w:r>
      <w:r>
        <w:t xml:space="preserve">OUP</w:t>
      </w:r>
      <w:r>
        <w:t xml:space="preserve">); 2011;27:1739–40. Available from:</w:t>
      </w:r>
      <w:r>
        <w:t xml:space="preserve"> </w:t>
      </w:r>
      <w:hyperlink r:id="rId91">
        <w:r>
          <w:rPr>
            <w:rStyle w:val="Hyperlink"/>
          </w:rPr>
          <w:t xml:space="preserve">https://doi.org/10.1093/bioinformatics/btr260</w:t>
        </w:r>
      </w:hyperlink>
    </w:p>
    <w:bookmarkEnd w:id="92"/>
    <w:bookmarkStart w:id="93" w:name="ref-geoquery"/>
    <w:p>
      <w:pPr>
        <w:pStyle w:val="Bibliography"/>
      </w:pPr>
      <w:r>
        <w:t xml:space="preserve">21.</w:t>
      </w:r>
      <w:r>
        <w:t xml:space="preserve"> </w:t>
      </w:r>
      <w:r>
        <w:t xml:space="preserve">	</w:t>
      </w:r>
      <w:r>
        <w:t xml:space="preserve">Davis S, Meltzer P. GEOquery: A bridge between the gene expression omnibus (GEO) and BioConductor. Bioinformatics. 2007;14:1846–7.</w:t>
      </w:r>
      <w:r>
        <w:t xml:space="preserve"> </w:t>
      </w:r>
    </w:p>
    <w:bookmarkEnd w:id="93"/>
    <w:bookmarkStart w:id="95" w:name="ref-Bhuva2020"/>
    <w:p>
      <w:pPr>
        <w:pStyle w:val="Bibliography"/>
      </w:pPr>
      <w:r>
        <w:t xml:space="preserve">22.</w:t>
      </w:r>
      <w:r>
        <w:t xml:space="preserve"> </w:t>
      </w:r>
      <w:r>
        <w:t xml:space="preserve">	</w:t>
      </w:r>
      <w:r>
        <w:t xml:space="preserve">Bhuva DD, Cursons J, Davis MJ. Stable gene expression for normalisation and single-sample scoring. Nucleic Acids Research [Internet]. Oxford University Press (</w:t>
      </w:r>
      <w:r>
        <w:t xml:space="preserve">OUP</w:t>
      </w:r>
      <w:r>
        <w:t xml:space="preserve">); 2020;48:e113–3. Available from:</w:t>
      </w:r>
      <w:r>
        <w:t xml:space="preserve"> </w:t>
      </w:r>
      <w:hyperlink r:id="rId94">
        <w:r>
          <w:rPr>
            <w:rStyle w:val="Hyperlink"/>
          </w:rPr>
          <w:t xml:space="preserve">https://doi.org/10.1093/nar/gkaa802</w:t>
        </w:r>
      </w:hyperlink>
    </w:p>
    <w:bookmarkEnd w:id="95"/>
    <w:bookmarkStart w:id="97" w:name="ref-Blighe2022"/>
    <w:p>
      <w:pPr>
        <w:pStyle w:val="Bibliography"/>
      </w:pPr>
      <w:r>
        <w:t xml:space="preserve">23.</w:t>
      </w:r>
      <w:r>
        <w:t xml:space="preserve"> </w:t>
      </w:r>
      <w:r>
        <w:t xml:space="preserve">	</w:t>
      </w:r>
      <w:r>
        <w:t xml:space="preserve">Blighe K, Lun A. PCAtools: PCAtools: Everything principal components analysis [Internet]. 2022. Available from:</w:t>
      </w:r>
      <w:r>
        <w:t xml:space="preserve"> </w:t>
      </w:r>
      <w:hyperlink r:id="rId96">
        <w:r>
          <w:rPr>
            <w:rStyle w:val="Hyperlink"/>
          </w:rPr>
          <w:t xml:space="preserve">https://github.com/kevinblighe/PCAtools</w:t>
        </w:r>
      </w:hyperlink>
    </w:p>
    <w:bookmarkEnd w:id="97"/>
    <w:bookmarkStart w:id="99" w:name="ref-Hnzelmann2013"/>
    <w:p>
      <w:pPr>
        <w:pStyle w:val="Bibliography"/>
      </w:pPr>
      <w:r>
        <w:t xml:space="preserve">24.</w:t>
      </w:r>
      <w:r>
        <w:t xml:space="preserve"> </w:t>
      </w:r>
      <w:r>
        <w:t xml:space="preserve">	</w:t>
      </w:r>
      <w:r>
        <w:t xml:space="preserve">Hänzelmann S, Castelo R, Guinney J.</w:t>
      </w:r>
      <w:r>
        <w:t xml:space="preserve"> </w:t>
      </w:r>
      <w:r>
        <w:t xml:space="preserve">GSVA</w:t>
      </w:r>
      <w:r>
        <w:t xml:space="preserve">: Gene set variation analysis for microarray and</w:t>
      </w:r>
      <w:r>
        <w:t xml:space="preserve"> </w:t>
      </w:r>
      <w:r>
        <w:t xml:space="preserve">RNA</w:t>
      </w:r>
      <w:r>
        <w:t xml:space="preserve">-seq data.</w:t>
      </w:r>
      <w:r>
        <w:t xml:space="preserve"> </w:t>
      </w:r>
      <w:r>
        <w:t xml:space="preserve">BMC</w:t>
      </w:r>
      <w:r>
        <w:t xml:space="preserve"> </w:t>
      </w:r>
      <w:r>
        <w:t xml:space="preserve">Bioinformatics [Internet]. Springer Science; Business Media</w:t>
      </w:r>
      <w:r>
        <w:t xml:space="preserve"> </w:t>
      </w:r>
      <w:r>
        <w:t xml:space="preserve">LLC</w:t>
      </w:r>
      <w:r>
        <w:t xml:space="preserve">; 2013;14. Available from:</w:t>
      </w:r>
      <w:r>
        <w:t xml:space="preserve"> </w:t>
      </w:r>
      <w:hyperlink r:id="rId98">
        <w:r>
          <w:rPr>
            <w:rStyle w:val="Hyperlink"/>
          </w:rPr>
          <w:t xml:space="preserve">https://doi.org/10.1186/1471-2105-14-7</w:t>
        </w:r>
      </w:hyperlink>
    </w:p>
    <w:bookmarkEnd w:id="99"/>
    <w:bookmarkStart w:id="101" w:name="ref-Sinn2019"/>
    <w:p>
      <w:pPr>
        <w:pStyle w:val="Bibliography"/>
      </w:pPr>
      <w:r>
        <w:t xml:space="preserve">25.</w:t>
      </w:r>
      <w:r>
        <w:t xml:space="preserve"> </w:t>
      </w:r>
      <w:r>
        <w:t xml:space="preserve">	</w:t>
      </w:r>
      <w:r>
        <w:t xml:space="preserve">Sinn BV, Fu C, Lau R, Litton J, Tsai T-H, Murthy R, et al.</w:t>
      </w:r>
      <w:r>
        <w:t xml:space="preserve"> </w:t>
      </w:r>
      <w:r>
        <w:t xml:space="preserve">SETER</w:t>
      </w:r>
      <w:r>
        <w:t xml:space="preserve">/</w:t>
      </w:r>
      <w:r>
        <w:t xml:space="preserve">PR</w:t>
      </w:r>
      <w:r>
        <w:t xml:space="preserve">: A robust 18-gene predictor for sensitivity to endocrine therapy for metastatic breast cancer. npj Breast Cancer [Internet]. Springer Science; Business Media</w:t>
      </w:r>
      <w:r>
        <w:t xml:space="preserve"> </w:t>
      </w:r>
      <w:r>
        <w:t xml:space="preserve">LLC</w:t>
      </w:r>
      <w:r>
        <w:t xml:space="preserve">; 2019;5. Available from:</w:t>
      </w:r>
      <w:r>
        <w:t xml:space="preserve"> </w:t>
      </w:r>
      <w:hyperlink r:id="rId100">
        <w:r>
          <w:rPr>
            <w:rStyle w:val="Hyperlink"/>
          </w:rPr>
          <w:t xml:space="preserve">https://doi.org/10.1038/s41523-019-0111-0</w:t>
        </w:r>
      </w:hyperlink>
    </w:p>
    <w:bookmarkEnd w:id="101"/>
    <w:bookmarkStart w:id="103" w:name="ref-Mootha2003"/>
    <w:p>
      <w:pPr>
        <w:pStyle w:val="Bibliography"/>
      </w:pPr>
      <w:r>
        <w:t xml:space="preserve">26.</w:t>
      </w:r>
      <w:r>
        <w:t xml:space="preserve"> </w:t>
      </w:r>
      <w:r>
        <w:t xml:space="preserve">	</w:t>
      </w:r>
      <w:r>
        <w:t xml:space="preserve">Mootha VK, Lindgren CM, Eriksson K-F, Subramanian A, Sihag S, Lehar J, et al.</w:t>
      </w:r>
      <w:r>
        <w:t xml:space="preserve"> </w:t>
      </w:r>
      <w:r>
        <w:t xml:space="preserve">PGC</w:t>
      </w:r>
      <w:r>
        <w:t xml:space="preserve">-1</w:t>
      </w:r>
      <m:oMath>
        <m:r>
          <m:rPr>
            <m:sty m:val="p"/>
          </m:rPr>
          <m:t>α</m:t>
        </m:r>
      </m:oMath>
      <w:r>
        <w:t xml:space="preserve">-responsive genes involved in oxidative phosphorylation are coordinately downregulated in human diabetes. Nature Genetics [Internet]. Springer Science; Business Media</w:t>
      </w:r>
      <w:r>
        <w:t xml:space="preserve"> </w:t>
      </w:r>
      <w:r>
        <w:t xml:space="preserve">LLC</w:t>
      </w:r>
      <w:r>
        <w:t xml:space="preserve">; 2003;34:267–73. Available from:</w:t>
      </w:r>
      <w:r>
        <w:t xml:space="preserve"> </w:t>
      </w:r>
      <w:hyperlink r:id="rId102">
        <w:r>
          <w:rPr>
            <w:rStyle w:val="Hyperlink"/>
          </w:rPr>
          <w:t xml:space="preserve">https://doi.org/10.1038/ng1180</w:t>
        </w:r>
      </w:hyperlink>
    </w:p>
    <w:bookmarkEnd w:id="103"/>
    <w:bookmarkStart w:id="105" w:name="ref-Goodrich2022"/>
    <w:p>
      <w:pPr>
        <w:pStyle w:val="Bibliography"/>
      </w:pPr>
      <w:r>
        <w:t xml:space="preserve">27.</w:t>
      </w:r>
      <w:r>
        <w:t xml:space="preserve"> </w:t>
      </w:r>
      <w:r>
        <w:t xml:space="preserve">	</w:t>
      </w:r>
      <w:r>
        <w:t xml:space="preserve">Goodrich B, Gabry J, Ali I, Brilleman S. Rstanarm:</w:t>
      </w:r>
      <w:r>
        <w:t xml:space="preserve"> </w:t>
      </w:r>
      <w:r>
        <w:t xml:space="preserve">Bayesian</w:t>
      </w:r>
      <w:r>
        <w:t xml:space="preserve"> </w:t>
      </w:r>
      <w:r>
        <w:t xml:space="preserve">applied regression modeling via</w:t>
      </w:r>
      <w:r>
        <w:t xml:space="preserve"> </w:t>
      </w:r>
      <w:r>
        <w:t xml:space="preserve">Stan</w:t>
      </w:r>
      <w:r>
        <w:t xml:space="preserve">. [Internet]. 2022. Available from:</w:t>
      </w:r>
      <w:r>
        <w:t xml:space="preserve"> </w:t>
      </w:r>
      <w:hyperlink r:id="rId104">
        <w:r>
          <w:rPr>
            <w:rStyle w:val="Hyperlink"/>
          </w:rPr>
          <w:t xml:space="preserve">https://mc-stan.org/rstanarm/</w:t>
        </w:r>
      </w:hyperlink>
    </w:p>
    <w:bookmarkEnd w:id="105"/>
    <w:bookmarkStart w:id="107" w:name="ref-Kay2022"/>
    <w:p>
      <w:pPr>
        <w:pStyle w:val="Bibliography"/>
      </w:pPr>
      <w:r>
        <w:t xml:space="preserve">28.</w:t>
      </w:r>
      <w:r>
        <w:t xml:space="preserve"> </w:t>
      </w:r>
      <w:r>
        <w:t xml:space="preserve">	</w:t>
      </w:r>
      <w:r>
        <w:t xml:space="preserve">Kay M.</w:t>
      </w:r>
      <w:r>
        <w:t xml:space="preserve"> </w:t>
      </w:r>
      <w:r>
        <w:t xml:space="preserve">tidybayes</w:t>
      </w:r>
      <w:r>
        <w:t xml:space="preserve">: Tidy data and geoms for</w:t>
      </w:r>
      <w:r>
        <w:t xml:space="preserve"> </w:t>
      </w:r>
      <w:r>
        <w:t xml:space="preserve">Bayesian</w:t>
      </w:r>
      <w:r>
        <w:t xml:space="preserve"> </w:t>
      </w:r>
      <w:r>
        <w:t xml:space="preserve">models [Internet]. 2022. Available from:</w:t>
      </w:r>
      <w:r>
        <w:t xml:space="preserve"> </w:t>
      </w:r>
      <w:hyperlink r:id="rId106">
        <w:r>
          <w:rPr>
            <w:rStyle w:val="Hyperlink"/>
          </w:rPr>
          <w:t xml:space="preserve">http://mjskay.github.io/tidybayes/</w:t>
        </w:r>
      </w:hyperlink>
    </w:p>
    <w:bookmarkEnd w:id="107"/>
    <w:bookmarkStart w:id="109" w:name="ref-Kan2018"/>
    <w:p>
      <w:pPr>
        <w:pStyle w:val="Bibliography"/>
      </w:pPr>
      <w:r>
        <w:t xml:space="preserve">29.</w:t>
      </w:r>
      <w:r>
        <w:t xml:space="preserve"> </w:t>
      </w:r>
      <w:r>
        <w:t xml:space="preserve">	</w:t>
      </w:r>
      <w:r>
        <w:t xml:space="preserve">Kan Z, Ding Y, Kim J, Jung HH, Chung W, Lal S, et al. Multi-omics profiling of younger asian breast cancers reveals distinctive molecular signatures. Nature Communications [Internet]. Springer Science; Business Media</w:t>
      </w:r>
      <w:r>
        <w:t xml:space="preserve"> </w:t>
      </w:r>
      <w:r>
        <w:t xml:space="preserve">LLC</w:t>
      </w:r>
      <w:r>
        <w:t xml:space="preserve">; 2018;9. Available from:</w:t>
      </w:r>
      <w:r>
        <w:t xml:space="preserve"> </w:t>
      </w:r>
      <w:hyperlink r:id="rId108">
        <w:r>
          <w:rPr>
            <w:rStyle w:val="Hyperlink"/>
          </w:rPr>
          <w:t xml:space="preserve">https://doi.org/10.1038/s41467-018-04129-4</w:t>
        </w:r>
      </w:hyperlink>
    </w:p>
    <w:bookmarkEnd w:id="109"/>
    <w:bookmarkStart w:id="111" w:name="ref-Dowsett2011"/>
    <w:p>
      <w:pPr>
        <w:pStyle w:val="Bibliography"/>
      </w:pPr>
      <w:r>
        <w:t xml:space="preserve">30.</w:t>
      </w:r>
      <w:r>
        <w:t xml:space="preserve"> </w:t>
      </w:r>
      <w:r>
        <w:t xml:space="preserve">	</w:t>
      </w:r>
      <w:r>
        <w:t xml:space="preserve">Dowsett M, Smith I, Robertson J, Robison L, Pinhel I, Johnson L, et al. Endocrine therapy, new biologicals, and new study designs for presurgical studies in breast cancer.</w:t>
      </w:r>
      <w:r>
        <w:t xml:space="preserve"> </w:t>
      </w:r>
      <w:r>
        <w:t xml:space="preserve">JNCI</w:t>
      </w:r>
      <w:r>
        <w:t xml:space="preserve"> </w:t>
      </w:r>
      <w:r>
        <w:t xml:space="preserve">Monographs [Internet]. Oxford University Press (</w:t>
      </w:r>
      <w:r>
        <w:t xml:space="preserve">OUP</w:t>
      </w:r>
      <w:r>
        <w:t xml:space="preserve">); 2011;2011:120–3. Available from:</w:t>
      </w:r>
      <w:r>
        <w:t xml:space="preserve"> </w:t>
      </w:r>
      <w:hyperlink r:id="rId110">
        <w:r>
          <w:rPr>
            <w:rStyle w:val="Hyperlink"/>
          </w:rPr>
          <w:t xml:space="preserve">https://doi.org/10.1093/jncimonographs/lgr034</w:t>
        </w:r>
      </w:hyperlink>
    </w:p>
    <w:bookmarkEnd w:id="111"/>
    <w:bookmarkStart w:id="113" w:name="ref-Arima2018"/>
    <w:p>
      <w:pPr>
        <w:pStyle w:val="Bibliography"/>
      </w:pPr>
      <w:r>
        <w:t xml:space="preserve">31.</w:t>
      </w:r>
      <w:r>
        <w:t xml:space="preserve"> </w:t>
      </w:r>
      <w:r>
        <w:t xml:space="preserve">	</w:t>
      </w:r>
      <w:r>
        <w:t xml:space="preserve">Arima N, Nishimura R, Osako T, Okumura Y, Nakano M, Fujisue M, et al. Ki‑67 index value and progesterone receptor status can predict prognosis and suitable treatment in node‑negative breast cancer patients with estrogen receptor‑positive and</w:t>
      </w:r>
      <w:r>
        <w:t xml:space="preserve"> </w:t>
      </w:r>
      <w:r>
        <w:t xml:space="preserve">HER</w:t>
      </w:r>
      <w:r>
        <w:t xml:space="preserve">2‑negative tumors. Oncology Letters [Internet]. Spandidos Publications; 2018; Available from:</w:t>
      </w:r>
      <w:r>
        <w:t xml:space="preserve"> </w:t>
      </w:r>
      <w:hyperlink r:id="rId112">
        <w:r>
          <w:rPr>
            <w:rStyle w:val="Hyperlink"/>
          </w:rPr>
          <w:t xml:space="preserve">https://doi.org/10.3892/ol.2018.9633</w:t>
        </w:r>
      </w:hyperlink>
    </w:p>
    <w:bookmarkEnd w:id="113"/>
    <w:bookmarkStart w:id="115" w:name="ref-Hickey2021"/>
    <w:p>
      <w:pPr>
        <w:pStyle w:val="Bibliography"/>
      </w:pPr>
      <w:r>
        <w:t xml:space="preserve">32.</w:t>
      </w:r>
      <w:r>
        <w:t xml:space="preserve"> </w:t>
      </w:r>
      <w:r>
        <w:t xml:space="preserve">	</w:t>
      </w:r>
      <w:r>
        <w:t xml:space="preserve">Hickey TE, Selth LA, Chia KM, Laven-Law G, Milioli HH, Roden D, et al. The androgen receptor is a tumor suppressor in estrogen receptor</w:t>
      </w:r>
      <w:r>
        <w:t xml:space="preserve">positive breast cancer. Nature Medicine [Internet]. Springer Science; Business Media</w:t>
      </w:r>
      <w:r>
        <w:t xml:space="preserve"> </w:t>
      </w:r>
      <w:r>
        <w:t xml:space="preserve">LLC</w:t>
      </w:r>
      <w:r>
        <w:t xml:space="preserve">; 2021;27:310–20. Available from:</w:t>
      </w:r>
      <w:r>
        <w:t xml:space="preserve"> </w:t>
      </w:r>
      <w:hyperlink r:id="rId114">
        <w:r>
          <w:rPr>
            <w:rStyle w:val="Hyperlink"/>
          </w:rPr>
          <w:t xml:space="preserve">https://doi.org/10.1038/s41591-020-01168-7</w:t>
        </w:r>
      </w:hyperlink>
    </w:p>
    <w:bookmarkEnd w:id="115"/>
    <w:bookmarkStart w:id="117" w:name="ref-Foroutan2018"/>
    <w:p>
      <w:pPr>
        <w:pStyle w:val="Bibliography"/>
      </w:pPr>
      <w:r>
        <w:t xml:space="preserve">33.</w:t>
      </w:r>
      <w:r>
        <w:t xml:space="preserve"> </w:t>
      </w:r>
      <w:r>
        <w:t xml:space="preserve">	</w:t>
      </w:r>
      <w:r>
        <w:t xml:space="preserve">Foroutan M, Bhuva DD, Lyu R, Horan K, Cursons J, Davis MJ. Single sample scoring of molecular phenotypes.</w:t>
      </w:r>
      <w:r>
        <w:t xml:space="preserve"> </w:t>
      </w:r>
      <w:r>
        <w:t xml:space="preserve">BMC</w:t>
      </w:r>
      <w:r>
        <w:t xml:space="preserve"> </w:t>
      </w:r>
      <w:r>
        <w:t xml:space="preserve">Bioinformatics [Internet]. Springer Science; Business Media</w:t>
      </w:r>
      <w:r>
        <w:t xml:space="preserve"> </w:t>
      </w:r>
      <w:r>
        <w:t xml:space="preserve">LLC</w:t>
      </w:r>
      <w:r>
        <w:t xml:space="preserve">; 2018;19. Available from:</w:t>
      </w:r>
      <w:r>
        <w:t xml:space="preserve"> </w:t>
      </w:r>
      <w:hyperlink r:id="rId116">
        <w:r>
          <w:rPr>
            <w:rStyle w:val="Hyperlink"/>
          </w:rPr>
          <w:t xml:space="preserve">https://doi.org/10.1186/s12859-018-2435-4</w:t>
        </w:r>
      </w:hyperlink>
    </w:p>
    <w:bookmarkEnd w:id="117"/>
    <w:bookmarkEnd w:id="118"/>
    <w:bookmarkEnd w:id="11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png" /><Relationship Type="http://schemas.openxmlformats.org/officeDocument/2006/relationships/image" Id="rId37" Target="media/rId37.png" /><Relationship Type="http://schemas.openxmlformats.org/officeDocument/2006/relationships/image" Id="rId42" Target="media/rId42.png" /><Relationship Type="http://schemas.openxmlformats.org/officeDocument/2006/relationships/image" Id="rId47" Target="media/rId47.png" /><Relationship Type="http://schemas.openxmlformats.org/officeDocument/2006/relationships/hyperlink" Id="rId106" Target="http://mjskay.github.io/tidybayes/" TargetMode="External" /><Relationship Type="http://schemas.openxmlformats.org/officeDocument/2006/relationships/hyperlink" Id="rId29" Target="https://chronchi.github.io/molecular_landscape" TargetMode="External" /><Relationship Type="http://schemas.openxmlformats.org/officeDocument/2006/relationships/hyperlink" Id="rId55" Target="https://doi.org/10.1023/a:1020299707510" TargetMode="External" /><Relationship Type="http://schemas.openxmlformats.org/officeDocument/2006/relationships/hyperlink" Id="rId85" Target="https://doi.org/10.1038/nature10983" TargetMode="External" /><Relationship Type="http://schemas.openxmlformats.org/officeDocument/2006/relationships/hyperlink" Id="rId81" Target="https://doi.org/10.1038/nature11412" TargetMode="External" /><Relationship Type="http://schemas.openxmlformats.org/officeDocument/2006/relationships/hyperlink" Id="rId75" Target="https://doi.org/10.1038/nbt.2931" TargetMode="External" /><Relationship Type="http://schemas.openxmlformats.org/officeDocument/2006/relationships/hyperlink" Id="rId102" Target="https://doi.org/10.1038/ng1180" TargetMode="External" /><Relationship Type="http://schemas.openxmlformats.org/officeDocument/2006/relationships/hyperlink" Id="rId108" Target="https://doi.org/10.1038/s41467-018-04129-4" TargetMode="External" /><Relationship Type="http://schemas.openxmlformats.org/officeDocument/2006/relationships/hyperlink" Id="rId100" Target="https://doi.org/10.1038/s41523-019-0111-0" TargetMode="External" /><Relationship Type="http://schemas.openxmlformats.org/officeDocument/2006/relationships/hyperlink" Id="rId59" Target="https://doi.org/10.1038/s41523-021-00308-7" TargetMode="External" /><Relationship Type="http://schemas.openxmlformats.org/officeDocument/2006/relationships/hyperlink" Id="rId114" Target="https://doi.org/10.1038/s41591-020-01168-7" TargetMode="External" /><Relationship Type="http://schemas.openxmlformats.org/officeDocument/2006/relationships/hyperlink" Id="rId61" Target="https://doi.org/10.1056/nejmoa1602253" TargetMode="External" /><Relationship Type="http://schemas.openxmlformats.org/officeDocument/2006/relationships/hyperlink" Id="rId65" Target="https://doi.org/10.1056/nejmoa1804710" TargetMode="External" /><Relationship Type="http://schemas.openxmlformats.org/officeDocument/2006/relationships/hyperlink" Id="rId89" Target="https://doi.org/10.1073/pnas.0506580102" TargetMode="External" /><Relationship Type="http://schemas.openxmlformats.org/officeDocument/2006/relationships/hyperlink" Id="rId91" Target="https://doi.org/10.1093/bioinformatics/btr260" TargetMode="External" /><Relationship Type="http://schemas.openxmlformats.org/officeDocument/2006/relationships/hyperlink" Id="rId79" Target="https://doi.org/10.1093/bioinformatics/bty117" TargetMode="External" /><Relationship Type="http://schemas.openxmlformats.org/officeDocument/2006/relationships/hyperlink" Id="rId110" Target="https://doi.org/10.1093/jncimonographs/lgr034" TargetMode="External" /><Relationship Type="http://schemas.openxmlformats.org/officeDocument/2006/relationships/hyperlink" Id="rId94" Target="https://doi.org/10.1093/nar/gkaa802" TargetMode="External" /><Relationship Type="http://schemas.openxmlformats.org/officeDocument/2006/relationships/hyperlink" Id="rId77" Target="https://doi.org/10.1093/nargab/lqaa078" TargetMode="External" /><Relationship Type="http://schemas.openxmlformats.org/officeDocument/2006/relationships/hyperlink" Id="rId67" Target="https://doi.org/10.1158/1078-0432.ccr-11-0926" TargetMode="External" /><Relationship Type="http://schemas.openxmlformats.org/officeDocument/2006/relationships/hyperlink" Id="rId98" Target="https://doi.org/10.1186/1471-2105-14-7" TargetMode="External" /><Relationship Type="http://schemas.openxmlformats.org/officeDocument/2006/relationships/hyperlink" Id="rId69" Target="https://doi.org/10.1186/bcr3038" TargetMode="External" /><Relationship Type="http://schemas.openxmlformats.org/officeDocument/2006/relationships/hyperlink" Id="rId116" Target="https://doi.org/10.1186/s12859-018-2435-4" TargetMode="External" /><Relationship Type="http://schemas.openxmlformats.org/officeDocument/2006/relationships/hyperlink" Id="rId87" Target="https://doi.org/10.1186/s13058-019-1223-z" TargetMode="External" /><Relationship Type="http://schemas.openxmlformats.org/officeDocument/2006/relationships/hyperlink" Id="rId83" Target="https://doi.org/10.1186/s13073-015-0131-9" TargetMode="External" /><Relationship Type="http://schemas.openxmlformats.org/officeDocument/2006/relationships/hyperlink" Id="rId57" Target="https://doi.org/10.1200/jco.19.02309" TargetMode="External" /><Relationship Type="http://schemas.openxmlformats.org/officeDocument/2006/relationships/hyperlink" Id="rId73" Target="https://doi.org/10.1200/jco.20.00853" TargetMode="External" /><Relationship Type="http://schemas.openxmlformats.org/officeDocument/2006/relationships/hyperlink" Id="rId63" Target="https://doi.org/10.1200/jco.2008.18.1370" TargetMode="External" /><Relationship Type="http://schemas.openxmlformats.org/officeDocument/2006/relationships/hyperlink" Id="rId71" Target="https://doi.org/10.1200/jco.22.00069" TargetMode="External" /><Relationship Type="http://schemas.openxmlformats.org/officeDocument/2006/relationships/hyperlink" Id="rId112" Target="https://doi.org/10.3892/ol.2018.9633" TargetMode="External" /><Relationship Type="http://schemas.openxmlformats.org/officeDocument/2006/relationships/hyperlink" Id="rId28" Target="https://github.com/chronchi/molecular_landscape" TargetMode="External" /><Relationship Type="http://schemas.openxmlformats.org/officeDocument/2006/relationships/hyperlink" Id="rId96" Target="https://github.com/kevinblighe/PCAtools" TargetMode="External" /><Relationship Type="http://schemas.openxmlformats.org/officeDocument/2006/relationships/hyperlink" Id="rId104" Target="https://mc-stan.org/rstanarm/" TargetMode="External" /></Relationships>
</file>

<file path=word/_rels/footnotes.xml.rels><?xml version="1.0" encoding="UTF-8"?><Relationships xmlns="http://schemas.openxmlformats.org/package/2006/relationships"><Relationship Type="http://schemas.openxmlformats.org/officeDocument/2006/relationships/hyperlink" Id="rId106" Target="http://mjskay.github.io/tidybayes/" TargetMode="External" /><Relationship Type="http://schemas.openxmlformats.org/officeDocument/2006/relationships/hyperlink" Id="rId29" Target="https://chronchi.github.io/molecular_landscape" TargetMode="External" /><Relationship Type="http://schemas.openxmlformats.org/officeDocument/2006/relationships/hyperlink" Id="rId55" Target="https://doi.org/10.1023/a:1020299707510" TargetMode="External" /><Relationship Type="http://schemas.openxmlformats.org/officeDocument/2006/relationships/hyperlink" Id="rId85" Target="https://doi.org/10.1038/nature10983" TargetMode="External" /><Relationship Type="http://schemas.openxmlformats.org/officeDocument/2006/relationships/hyperlink" Id="rId81" Target="https://doi.org/10.1038/nature11412" TargetMode="External" /><Relationship Type="http://schemas.openxmlformats.org/officeDocument/2006/relationships/hyperlink" Id="rId75" Target="https://doi.org/10.1038/nbt.2931" TargetMode="External" /><Relationship Type="http://schemas.openxmlformats.org/officeDocument/2006/relationships/hyperlink" Id="rId102" Target="https://doi.org/10.1038/ng1180" TargetMode="External" /><Relationship Type="http://schemas.openxmlformats.org/officeDocument/2006/relationships/hyperlink" Id="rId108" Target="https://doi.org/10.1038/s41467-018-04129-4" TargetMode="External" /><Relationship Type="http://schemas.openxmlformats.org/officeDocument/2006/relationships/hyperlink" Id="rId100" Target="https://doi.org/10.1038/s41523-019-0111-0" TargetMode="External" /><Relationship Type="http://schemas.openxmlformats.org/officeDocument/2006/relationships/hyperlink" Id="rId59" Target="https://doi.org/10.1038/s41523-021-00308-7" TargetMode="External" /><Relationship Type="http://schemas.openxmlformats.org/officeDocument/2006/relationships/hyperlink" Id="rId114" Target="https://doi.org/10.1038/s41591-020-01168-7" TargetMode="External" /><Relationship Type="http://schemas.openxmlformats.org/officeDocument/2006/relationships/hyperlink" Id="rId61" Target="https://doi.org/10.1056/nejmoa1602253" TargetMode="External" /><Relationship Type="http://schemas.openxmlformats.org/officeDocument/2006/relationships/hyperlink" Id="rId65" Target="https://doi.org/10.1056/nejmoa1804710" TargetMode="External" /><Relationship Type="http://schemas.openxmlformats.org/officeDocument/2006/relationships/hyperlink" Id="rId89" Target="https://doi.org/10.1073/pnas.0506580102" TargetMode="External" /><Relationship Type="http://schemas.openxmlformats.org/officeDocument/2006/relationships/hyperlink" Id="rId91" Target="https://doi.org/10.1093/bioinformatics/btr260" TargetMode="External" /><Relationship Type="http://schemas.openxmlformats.org/officeDocument/2006/relationships/hyperlink" Id="rId79" Target="https://doi.org/10.1093/bioinformatics/bty117" TargetMode="External" /><Relationship Type="http://schemas.openxmlformats.org/officeDocument/2006/relationships/hyperlink" Id="rId110" Target="https://doi.org/10.1093/jncimonographs/lgr034" TargetMode="External" /><Relationship Type="http://schemas.openxmlformats.org/officeDocument/2006/relationships/hyperlink" Id="rId94" Target="https://doi.org/10.1093/nar/gkaa802" TargetMode="External" /><Relationship Type="http://schemas.openxmlformats.org/officeDocument/2006/relationships/hyperlink" Id="rId77" Target="https://doi.org/10.1093/nargab/lqaa078" TargetMode="External" /><Relationship Type="http://schemas.openxmlformats.org/officeDocument/2006/relationships/hyperlink" Id="rId67" Target="https://doi.org/10.1158/1078-0432.ccr-11-0926" TargetMode="External" /><Relationship Type="http://schemas.openxmlformats.org/officeDocument/2006/relationships/hyperlink" Id="rId98" Target="https://doi.org/10.1186/1471-2105-14-7" TargetMode="External" /><Relationship Type="http://schemas.openxmlformats.org/officeDocument/2006/relationships/hyperlink" Id="rId69" Target="https://doi.org/10.1186/bcr3038" TargetMode="External" /><Relationship Type="http://schemas.openxmlformats.org/officeDocument/2006/relationships/hyperlink" Id="rId116" Target="https://doi.org/10.1186/s12859-018-2435-4" TargetMode="External" /><Relationship Type="http://schemas.openxmlformats.org/officeDocument/2006/relationships/hyperlink" Id="rId87" Target="https://doi.org/10.1186/s13058-019-1223-z" TargetMode="External" /><Relationship Type="http://schemas.openxmlformats.org/officeDocument/2006/relationships/hyperlink" Id="rId83" Target="https://doi.org/10.1186/s13073-015-0131-9" TargetMode="External" /><Relationship Type="http://schemas.openxmlformats.org/officeDocument/2006/relationships/hyperlink" Id="rId57" Target="https://doi.org/10.1200/jco.19.02309" TargetMode="External" /><Relationship Type="http://schemas.openxmlformats.org/officeDocument/2006/relationships/hyperlink" Id="rId73" Target="https://doi.org/10.1200/jco.20.00853" TargetMode="External" /><Relationship Type="http://schemas.openxmlformats.org/officeDocument/2006/relationships/hyperlink" Id="rId63" Target="https://doi.org/10.1200/jco.2008.18.1370" TargetMode="External" /><Relationship Type="http://schemas.openxmlformats.org/officeDocument/2006/relationships/hyperlink" Id="rId71" Target="https://doi.org/10.1200/jco.22.00069" TargetMode="External" /><Relationship Type="http://schemas.openxmlformats.org/officeDocument/2006/relationships/hyperlink" Id="rId112" Target="https://doi.org/10.3892/ol.2018.9633" TargetMode="External" /><Relationship Type="http://schemas.openxmlformats.org/officeDocument/2006/relationships/hyperlink" Id="rId28" Target="https://github.com/chronchi/molecular_landscape" TargetMode="External" /><Relationship Type="http://schemas.openxmlformats.org/officeDocument/2006/relationships/hyperlink" Id="rId96" Target="https://github.com/kevinblighe/PCAtools" TargetMode="External" /><Relationship Type="http://schemas.openxmlformats.org/officeDocument/2006/relationships/hyperlink" Id="rId104" Target="https://mc-stan.org/rstanar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Molecular landscape: a new framework for personalized medicine in Breast Cancer</dc:title>
  <dc:creator>Carlos Ronchi, Cathrin Brisken</dc:creator>
  <cp:keywords/>
  <dcterms:created xsi:type="dcterms:W3CDTF">2022-11-08T09:45:00Z</dcterms:created>
  <dcterms:modified xsi:type="dcterms:W3CDTF">2022-11-08T09:45:00Z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y-author">
    <vt:lpwstr/>
  </property>
  <property fmtid="{D5CDD505-2E9C-101B-9397-08002B2CF9AE}" pid="6" name="csl">
    <vt:lpwstr>csl/aacr.csl</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toc-title">
    <vt:lpwstr>Table of contents</vt:lpwstr>
  </property>
</Properties>
</file>